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DD" w:rsidRPr="00F60A2C" w:rsidRDefault="009C6B0C" w:rsidP="00E06EDD">
      <w:pPr>
        <w:jc w:val="center"/>
        <w:rPr>
          <w:b/>
          <w:sz w:val="28"/>
          <w:szCs w:val="28"/>
        </w:rPr>
      </w:pPr>
      <w:r>
        <w:rPr>
          <w:b/>
          <w:sz w:val="28"/>
          <w:szCs w:val="28"/>
        </w:rPr>
        <w:t>доклад</w:t>
      </w:r>
    </w:p>
    <w:p w:rsidR="00E06EDD" w:rsidRDefault="00E06EDD" w:rsidP="00E06EDD">
      <w:pPr>
        <w:jc w:val="center"/>
        <w:rPr>
          <w:sz w:val="28"/>
          <w:szCs w:val="28"/>
        </w:rPr>
      </w:pPr>
      <w:r>
        <w:rPr>
          <w:sz w:val="28"/>
          <w:szCs w:val="28"/>
        </w:rPr>
        <w:t xml:space="preserve">О взаимодействии Администрации Калининского района </w:t>
      </w:r>
    </w:p>
    <w:p w:rsidR="005F53C1" w:rsidRDefault="00E06EDD" w:rsidP="00E06EDD">
      <w:pPr>
        <w:jc w:val="center"/>
        <w:rPr>
          <w:sz w:val="28"/>
          <w:szCs w:val="28"/>
        </w:rPr>
      </w:pPr>
      <w:r>
        <w:rPr>
          <w:sz w:val="28"/>
          <w:szCs w:val="28"/>
        </w:rPr>
        <w:t xml:space="preserve">городского округа город Уфа Республики Башкортостан с ООО «Энергетическая сбытовая компания Башкортостана» </w:t>
      </w:r>
    </w:p>
    <w:p w:rsidR="005F53C1" w:rsidRDefault="00E06EDD" w:rsidP="00E06EDD">
      <w:pPr>
        <w:jc w:val="center"/>
        <w:rPr>
          <w:sz w:val="28"/>
          <w:szCs w:val="28"/>
        </w:rPr>
      </w:pPr>
      <w:r>
        <w:rPr>
          <w:sz w:val="28"/>
          <w:szCs w:val="28"/>
        </w:rPr>
        <w:t xml:space="preserve">по начислению платы на общедомовые нужды </w:t>
      </w:r>
    </w:p>
    <w:p w:rsidR="00E06EDD" w:rsidRPr="00385EBA" w:rsidRDefault="00E06EDD" w:rsidP="00E06EDD">
      <w:pPr>
        <w:jc w:val="center"/>
        <w:rPr>
          <w:sz w:val="28"/>
          <w:szCs w:val="28"/>
        </w:rPr>
      </w:pPr>
      <w:r>
        <w:rPr>
          <w:sz w:val="28"/>
          <w:szCs w:val="28"/>
        </w:rPr>
        <w:t xml:space="preserve">за электрическую </w:t>
      </w:r>
      <w:r w:rsidRPr="00385EBA">
        <w:rPr>
          <w:sz w:val="28"/>
          <w:szCs w:val="28"/>
        </w:rPr>
        <w:t>энергию</w:t>
      </w:r>
    </w:p>
    <w:p w:rsidR="00E06EDD" w:rsidRDefault="00E06EDD" w:rsidP="00E06EDD">
      <w:pPr>
        <w:jc w:val="center"/>
        <w:rPr>
          <w:sz w:val="28"/>
          <w:szCs w:val="28"/>
        </w:rPr>
      </w:pPr>
    </w:p>
    <w:p w:rsidR="00E06EDD" w:rsidRDefault="00E06EDD" w:rsidP="00E06EDD">
      <w:pPr>
        <w:jc w:val="center"/>
        <w:rPr>
          <w:sz w:val="28"/>
          <w:szCs w:val="28"/>
        </w:rPr>
      </w:pPr>
    </w:p>
    <w:p w:rsidR="00E06EDD" w:rsidRDefault="00E06EDD" w:rsidP="00E06EDD">
      <w:pPr>
        <w:jc w:val="center"/>
        <w:rPr>
          <w:sz w:val="28"/>
          <w:szCs w:val="28"/>
        </w:rPr>
      </w:pPr>
      <w:r>
        <w:rPr>
          <w:sz w:val="28"/>
          <w:szCs w:val="28"/>
        </w:rPr>
        <w:t>Уважаемая Елена Александровна!</w:t>
      </w:r>
    </w:p>
    <w:p w:rsidR="00E06EDD" w:rsidRDefault="00E06EDD" w:rsidP="00E06EDD">
      <w:pPr>
        <w:jc w:val="center"/>
        <w:rPr>
          <w:sz w:val="28"/>
          <w:szCs w:val="28"/>
        </w:rPr>
      </w:pPr>
      <w:r>
        <w:rPr>
          <w:sz w:val="28"/>
          <w:szCs w:val="28"/>
        </w:rPr>
        <w:t>Уважаемый участники совещания!</w:t>
      </w:r>
    </w:p>
    <w:p w:rsidR="00E06EDD" w:rsidRDefault="00E06EDD" w:rsidP="00E06EDD">
      <w:pPr>
        <w:ind w:firstLine="708"/>
        <w:jc w:val="both"/>
        <w:rPr>
          <w:sz w:val="28"/>
          <w:szCs w:val="28"/>
        </w:rPr>
      </w:pPr>
    </w:p>
    <w:p w:rsidR="00E06EDD" w:rsidRDefault="00E06EDD" w:rsidP="00E06EDD">
      <w:pPr>
        <w:ind w:firstLine="708"/>
        <w:jc w:val="both"/>
        <w:rPr>
          <w:sz w:val="28"/>
          <w:szCs w:val="28"/>
        </w:rPr>
      </w:pPr>
      <w:r>
        <w:rPr>
          <w:sz w:val="28"/>
          <w:szCs w:val="28"/>
        </w:rPr>
        <w:t xml:space="preserve">В целях выявления причин превышения распределяемого между потребителями объема  электроэнергии на общедомовые нужды (ОДН) над объемами электроэнергии, рассчитанными по установленному нормативу потребления, во исполнение протокола заседания рабочей группы по контролю за начислением платы за жилищно-коммунальные услуги в Республике Башкортостан от 30.03.2015г., </w:t>
      </w:r>
      <w:r w:rsidRPr="00967C10">
        <w:rPr>
          <w:sz w:val="28"/>
          <w:szCs w:val="28"/>
        </w:rPr>
        <w:t xml:space="preserve">созданной Распоряжением председателя Государственного Собрания – Курултая Республики Башкортостан от 27.03.2015г. </w:t>
      </w:r>
      <w:r>
        <w:rPr>
          <w:sz w:val="28"/>
          <w:szCs w:val="28"/>
        </w:rPr>
        <w:t>№ 19-р, распоряжением Администрации Калининского района городского округа город Уфа Республики Башкортостан от  15.04.2015г. № 637р создана рабочая комиссия</w:t>
      </w:r>
      <w:r w:rsidRPr="001532D8">
        <w:rPr>
          <w:sz w:val="28"/>
          <w:szCs w:val="28"/>
        </w:rPr>
        <w:t xml:space="preserve"> </w:t>
      </w:r>
      <w:r>
        <w:rPr>
          <w:sz w:val="28"/>
          <w:szCs w:val="28"/>
        </w:rPr>
        <w:t xml:space="preserve">по мониторингу потребления электроэнергии   во </w:t>
      </w:r>
      <w:r>
        <w:rPr>
          <w:sz w:val="28"/>
          <w:szCs w:val="28"/>
          <w:lang w:val="en-US"/>
        </w:rPr>
        <w:t>II</w:t>
      </w:r>
      <w:r w:rsidRPr="004A553D">
        <w:rPr>
          <w:sz w:val="28"/>
          <w:szCs w:val="28"/>
        </w:rPr>
        <w:t>-</w:t>
      </w:r>
      <w:r>
        <w:rPr>
          <w:sz w:val="28"/>
          <w:szCs w:val="28"/>
        </w:rPr>
        <w:t>м квартале 2015 года  в  многоквартирных домах Калининского района.</w:t>
      </w:r>
    </w:p>
    <w:p w:rsidR="00E06EDD" w:rsidRPr="00E06EDD" w:rsidRDefault="00E06EDD" w:rsidP="00E06EDD">
      <w:pPr>
        <w:jc w:val="both"/>
        <w:rPr>
          <w:sz w:val="28"/>
          <w:szCs w:val="28"/>
          <w:u w:val="single"/>
        </w:rPr>
      </w:pPr>
      <w:r>
        <w:rPr>
          <w:sz w:val="28"/>
          <w:szCs w:val="28"/>
        </w:rPr>
        <w:tab/>
        <w:t>В состав комиссии вошли представители</w:t>
      </w:r>
      <w:r w:rsidRPr="00402ECA">
        <w:rPr>
          <w:sz w:val="28"/>
          <w:szCs w:val="28"/>
        </w:rPr>
        <w:t xml:space="preserve"> </w:t>
      </w:r>
      <w:r>
        <w:rPr>
          <w:sz w:val="28"/>
          <w:szCs w:val="28"/>
        </w:rPr>
        <w:t xml:space="preserve">Администрации Калининского района </w:t>
      </w:r>
      <w:r w:rsidRPr="00967C10">
        <w:rPr>
          <w:sz w:val="28"/>
          <w:szCs w:val="28"/>
        </w:rPr>
        <w:t xml:space="preserve">городского округа город Уфа Республики </w:t>
      </w:r>
      <w:proofErr w:type="gramStart"/>
      <w:r w:rsidRPr="00967C10">
        <w:rPr>
          <w:sz w:val="28"/>
          <w:szCs w:val="28"/>
        </w:rPr>
        <w:t>Башкортостан,</w:t>
      </w:r>
      <w:r>
        <w:rPr>
          <w:sz w:val="28"/>
          <w:szCs w:val="28"/>
        </w:rPr>
        <w:t xml:space="preserve">  управляющей</w:t>
      </w:r>
      <w:proofErr w:type="gramEnd"/>
      <w:r>
        <w:rPr>
          <w:sz w:val="28"/>
          <w:szCs w:val="28"/>
        </w:rPr>
        <w:t xml:space="preserve"> компании ОАО «УЖХ Калининского района г.Уфы», ООО «</w:t>
      </w:r>
      <w:r w:rsidRPr="005B0AF6">
        <w:rPr>
          <w:sz w:val="28"/>
          <w:szCs w:val="28"/>
        </w:rPr>
        <w:t>Энергетическая сбытовая компания Башкортостана»</w:t>
      </w:r>
      <w:r>
        <w:rPr>
          <w:sz w:val="28"/>
          <w:szCs w:val="28"/>
        </w:rPr>
        <w:t xml:space="preserve"> и председатель Совета </w:t>
      </w:r>
      <w:r w:rsidRPr="005B0AF6">
        <w:rPr>
          <w:sz w:val="28"/>
          <w:szCs w:val="28"/>
        </w:rPr>
        <w:t xml:space="preserve"> общественного контроля в сфере жилищно-коммунального хозяйства </w:t>
      </w:r>
      <w:r>
        <w:rPr>
          <w:sz w:val="28"/>
          <w:szCs w:val="28"/>
        </w:rPr>
        <w:t xml:space="preserve">Калининского района </w:t>
      </w:r>
      <w:r w:rsidRPr="00967C10">
        <w:rPr>
          <w:sz w:val="28"/>
          <w:szCs w:val="28"/>
        </w:rPr>
        <w:t>городского округа город Уфа Республики Башкортостан</w:t>
      </w:r>
      <w:r w:rsidRPr="00E06EDD">
        <w:rPr>
          <w:sz w:val="28"/>
          <w:szCs w:val="28"/>
          <w:u w:val="single"/>
        </w:rPr>
        <w:t xml:space="preserve"> </w:t>
      </w:r>
    </w:p>
    <w:p w:rsidR="00E06EDD" w:rsidRDefault="00E06EDD" w:rsidP="00E06EDD">
      <w:pPr>
        <w:ind w:firstLine="708"/>
        <w:jc w:val="both"/>
        <w:rPr>
          <w:sz w:val="28"/>
          <w:szCs w:val="28"/>
        </w:rPr>
      </w:pPr>
      <w:r>
        <w:rPr>
          <w:sz w:val="28"/>
          <w:szCs w:val="28"/>
        </w:rPr>
        <w:t xml:space="preserve">Председателем рабочей комиссии утвержден список обследуемых многоквартирных домов Калининского района городского округа город Уфа Республики Башкортостан в количестве 100 ед. с разбивкой на 3 группы помесячно для  мониторинга потребления электроэнергии во </w:t>
      </w:r>
      <w:r>
        <w:rPr>
          <w:sz w:val="28"/>
          <w:szCs w:val="28"/>
          <w:lang w:val="en-US"/>
        </w:rPr>
        <w:t>II</w:t>
      </w:r>
      <w:r w:rsidRPr="004A553D">
        <w:rPr>
          <w:sz w:val="28"/>
          <w:szCs w:val="28"/>
        </w:rPr>
        <w:t>-</w:t>
      </w:r>
      <w:r>
        <w:rPr>
          <w:sz w:val="28"/>
          <w:szCs w:val="28"/>
        </w:rPr>
        <w:t xml:space="preserve">м квартале 2015 года. В </w:t>
      </w:r>
      <w:r w:rsidRPr="00385EBA">
        <w:rPr>
          <w:sz w:val="28"/>
          <w:szCs w:val="28"/>
        </w:rPr>
        <w:t xml:space="preserve">данный </w:t>
      </w:r>
      <w:r>
        <w:rPr>
          <w:sz w:val="28"/>
          <w:szCs w:val="28"/>
        </w:rPr>
        <w:t xml:space="preserve">перечень </w:t>
      </w:r>
      <w:proofErr w:type="gramStart"/>
      <w:r>
        <w:rPr>
          <w:sz w:val="28"/>
          <w:szCs w:val="28"/>
        </w:rPr>
        <w:t>включен</w:t>
      </w:r>
      <w:r w:rsidR="00385EBA">
        <w:rPr>
          <w:sz w:val="28"/>
          <w:szCs w:val="28"/>
        </w:rPr>
        <w:t>ы  многоквартирные</w:t>
      </w:r>
      <w:proofErr w:type="gramEnd"/>
      <w:r>
        <w:rPr>
          <w:sz w:val="28"/>
          <w:szCs w:val="28"/>
        </w:rPr>
        <w:t xml:space="preserve"> дом</w:t>
      </w:r>
      <w:r w:rsidR="00385EBA">
        <w:rPr>
          <w:sz w:val="28"/>
          <w:szCs w:val="28"/>
        </w:rPr>
        <w:t>а</w:t>
      </w:r>
      <w:r>
        <w:rPr>
          <w:sz w:val="28"/>
          <w:szCs w:val="28"/>
        </w:rPr>
        <w:t>, в которых расходы по статье «электроэнергия на ОДН» превыша</w:t>
      </w:r>
      <w:r w:rsidR="00385EBA">
        <w:rPr>
          <w:sz w:val="28"/>
          <w:szCs w:val="28"/>
        </w:rPr>
        <w:t>ю</w:t>
      </w:r>
      <w:r>
        <w:rPr>
          <w:sz w:val="28"/>
          <w:szCs w:val="28"/>
        </w:rPr>
        <w:t>т 30% от общего объема потребления электроэнергии по дому.</w:t>
      </w:r>
    </w:p>
    <w:p w:rsidR="00E06EDD" w:rsidRDefault="00E06EDD" w:rsidP="00E06EDD">
      <w:pPr>
        <w:ind w:firstLine="357"/>
        <w:jc w:val="both"/>
        <w:rPr>
          <w:sz w:val="28"/>
          <w:szCs w:val="28"/>
        </w:rPr>
      </w:pPr>
      <w:r>
        <w:rPr>
          <w:sz w:val="28"/>
          <w:szCs w:val="28"/>
        </w:rPr>
        <w:t xml:space="preserve">В мае текущего года проведено 2 заседания комиссии, на которых были </w:t>
      </w:r>
      <w:proofErr w:type="gramStart"/>
      <w:r>
        <w:rPr>
          <w:sz w:val="28"/>
          <w:szCs w:val="28"/>
        </w:rPr>
        <w:t>заслушаны  члены</w:t>
      </w:r>
      <w:proofErr w:type="gramEnd"/>
      <w:r>
        <w:rPr>
          <w:sz w:val="28"/>
          <w:szCs w:val="28"/>
        </w:rPr>
        <w:t xml:space="preserve"> комиссии по результатам </w:t>
      </w:r>
      <w:r w:rsidR="00385EBA">
        <w:rPr>
          <w:sz w:val="28"/>
          <w:szCs w:val="28"/>
        </w:rPr>
        <w:t xml:space="preserve">обследования </w:t>
      </w:r>
      <w:r>
        <w:rPr>
          <w:sz w:val="28"/>
          <w:szCs w:val="28"/>
        </w:rPr>
        <w:t xml:space="preserve"> </w:t>
      </w:r>
      <w:r w:rsidR="00385EBA">
        <w:rPr>
          <w:sz w:val="28"/>
          <w:szCs w:val="28"/>
        </w:rPr>
        <w:t xml:space="preserve">30 домов </w:t>
      </w:r>
      <w:r>
        <w:rPr>
          <w:sz w:val="28"/>
          <w:szCs w:val="28"/>
        </w:rPr>
        <w:t>в апреле текущего года.</w:t>
      </w:r>
    </w:p>
    <w:p w:rsidR="00E06EDD" w:rsidRDefault="00E06EDD" w:rsidP="00E06EDD">
      <w:pPr>
        <w:ind w:firstLine="357"/>
        <w:jc w:val="both"/>
        <w:rPr>
          <w:sz w:val="28"/>
          <w:szCs w:val="28"/>
        </w:rPr>
      </w:pPr>
      <w:r>
        <w:rPr>
          <w:sz w:val="28"/>
          <w:szCs w:val="28"/>
        </w:rPr>
        <w:t xml:space="preserve">  Так,  в совместных рейдах проведено обследование вводно-распределительных устройств (ВРУ) жилых домов на предмет выявления несанкционированных технологических присоединений потребителей, а также совершены поквартирные обходы. </w:t>
      </w:r>
    </w:p>
    <w:p w:rsidR="00E06EDD" w:rsidRPr="00661D77" w:rsidRDefault="00E06EDD" w:rsidP="00E06EDD">
      <w:pPr>
        <w:ind w:firstLine="357"/>
        <w:jc w:val="both"/>
        <w:rPr>
          <w:sz w:val="28"/>
          <w:szCs w:val="28"/>
        </w:rPr>
      </w:pPr>
      <w:r w:rsidRPr="00661D77">
        <w:rPr>
          <w:sz w:val="28"/>
          <w:szCs w:val="28"/>
        </w:rPr>
        <w:t xml:space="preserve"> </w:t>
      </w:r>
      <w:r>
        <w:rPr>
          <w:sz w:val="28"/>
          <w:szCs w:val="28"/>
        </w:rPr>
        <w:t xml:space="preserve">   </w:t>
      </w:r>
      <w:r w:rsidRPr="00661D77">
        <w:rPr>
          <w:sz w:val="28"/>
          <w:szCs w:val="28"/>
        </w:rPr>
        <w:t>По рез</w:t>
      </w:r>
      <w:r>
        <w:rPr>
          <w:sz w:val="28"/>
          <w:szCs w:val="28"/>
        </w:rPr>
        <w:t>ультатам п</w:t>
      </w:r>
      <w:r w:rsidRPr="00661D77">
        <w:rPr>
          <w:sz w:val="28"/>
          <w:szCs w:val="28"/>
        </w:rPr>
        <w:t>роведен</w:t>
      </w:r>
      <w:r>
        <w:rPr>
          <w:sz w:val="28"/>
          <w:szCs w:val="28"/>
        </w:rPr>
        <w:t>ных</w:t>
      </w:r>
      <w:r w:rsidRPr="00661D77">
        <w:rPr>
          <w:sz w:val="28"/>
          <w:szCs w:val="28"/>
        </w:rPr>
        <w:t xml:space="preserve"> рейд</w:t>
      </w:r>
      <w:r>
        <w:rPr>
          <w:sz w:val="28"/>
          <w:szCs w:val="28"/>
        </w:rPr>
        <w:t>ов</w:t>
      </w:r>
      <w:r w:rsidRPr="00661D77">
        <w:rPr>
          <w:sz w:val="28"/>
          <w:szCs w:val="28"/>
        </w:rPr>
        <w:t xml:space="preserve"> было обнаружено следующее:</w:t>
      </w:r>
    </w:p>
    <w:p w:rsidR="00E06EDD" w:rsidRPr="00661D77" w:rsidRDefault="00E06EDD" w:rsidP="00E06EDD">
      <w:pPr>
        <w:numPr>
          <w:ilvl w:val="0"/>
          <w:numId w:val="1"/>
        </w:numPr>
        <w:ind w:left="357" w:firstLine="0"/>
        <w:jc w:val="both"/>
        <w:rPr>
          <w:sz w:val="28"/>
          <w:szCs w:val="28"/>
        </w:rPr>
      </w:pPr>
      <w:r w:rsidRPr="00661D77">
        <w:rPr>
          <w:sz w:val="28"/>
          <w:szCs w:val="28"/>
        </w:rPr>
        <w:t xml:space="preserve">Некорректная передача показаний в 819 квартирах из общего числа </w:t>
      </w:r>
      <w:r>
        <w:rPr>
          <w:sz w:val="28"/>
          <w:szCs w:val="28"/>
        </w:rPr>
        <w:t xml:space="preserve"> обследуемых </w:t>
      </w:r>
      <w:r w:rsidRPr="00661D77">
        <w:rPr>
          <w:sz w:val="28"/>
          <w:szCs w:val="28"/>
        </w:rPr>
        <w:t>квартир</w:t>
      </w:r>
      <w:r>
        <w:rPr>
          <w:sz w:val="28"/>
          <w:szCs w:val="28"/>
        </w:rPr>
        <w:t xml:space="preserve"> (2800 ед.) </w:t>
      </w:r>
      <w:r w:rsidRPr="00661D77">
        <w:rPr>
          <w:sz w:val="28"/>
          <w:szCs w:val="28"/>
        </w:rPr>
        <w:t xml:space="preserve"> </w:t>
      </w:r>
      <w:r>
        <w:rPr>
          <w:sz w:val="28"/>
          <w:szCs w:val="28"/>
        </w:rPr>
        <w:t xml:space="preserve">в </w:t>
      </w:r>
      <w:r w:rsidRPr="00661D77">
        <w:rPr>
          <w:sz w:val="28"/>
          <w:szCs w:val="28"/>
        </w:rPr>
        <w:t>30 дом</w:t>
      </w:r>
      <w:r>
        <w:rPr>
          <w:sz w:val="28"/>
          <w:szCs w:val="28"/>
        </w:rPr>
        <w:t>ах</w:t>
      </w:r>
      <w:r w:rsidRPr="00661D77">
        <w:rPr>
          <w:sz w:val="28"/>
          <w:szCs w:val="28"/>
        </w:rPr>
        <w:t xml:space="preserve">. </w:t>
      </w:r>
    </w:p>
    <w:p w:rsidR="00E06EDD" w:rsidRPr="00661D77" w:rsidRDefault="00E06EDD" w:rsidP="00E06EDD">
      <w:pPr>
        <w:numPr>
          <w:ilvl w:val="0"/>
          <w:numId w:val="1"/>
        </w:numPr>
        <w:ind w:left="357" w:firstLine="0"/>
        <w:jc w:val="both"/>
        <w:rPr>
          <w:sz w:val="28"/>
          <w:szCs w:val="28"/>
        </w:rPr>
      </w:pPr>
      <w:r w:rsidRPr="00661D77">
        <w:rPr>
          <w:sz w:val="28"/>
          <w:szCs w:val="28"/>
        </w:rPr>
        <w:lastRenderedPageBreak/>
        <w:t>В 20 квартирах класс точности с</w:t>
      </w:r>
      <w:r>
        <w:rPr>
          <w:sz w:val="28"/>
          <w:szCs w:val="28"/>
        </w:rPr>
        <w:t>тарых индивидуальных приборов</w:t>
      </w:r>
      <w:r w:rsidRPr="00661D77">
        <w:rPr>
          <w:sz w:val="28"/>
          <w:szCs w:val="28"/>
        </w:rPr>
        <w:t xml:space="preserve"> (с истекшим сроком эксплуатации) не соответствует установленным требованиям.</w:t>
      </w:r>
    </w:p>
    <w:p w:rsidR="00E06EDD" w:rsidRPr="00661D77" w:rsidRDefault="00E06EDD" w:rsidP="00E06EDD">
      <w:pPr>
        <w:numPr>
          <w:ilvl w:val="0"/>
          <w:numId w:val="1"/>
        </w:numPr>
        <w:ind w:left="357" w:firstLine="0"/>
        <w:jc w:val="both"/>
        <w:rPr>
          <w:sz w:val="28"/>
          <w:szCs w:val="28"/>
        </w:rPr>
      </w:pPr>
      <w:r w:rsidRPr="00661D77">
        <w:rPr>
          <w:sz w:val="28"/>
          <w:szCs w:val="28"/>
        </w:rPr>
        <w:t>Несанкционированное подключение потребителей в 3</w:t>
      </w:r>
      <w:r>
        <w:rPr>
          <w:sz w:val="28"/>
          <w:szCs w:val="28"/>
        </w:rPr>
        <w:t>-х</w:t>
      </w:r>
      <w:r w:rsidRPr="00661D77">
        <w:rPr>
          <w:sz w:val="28"/>
          <w:szCs w:val="28"/>
        </w:rPr>
        <w:t xml:space="preserve"> </w:t>
      </w:r>
      <w:r>
        <w:rPr>
          <w:sz w:val="28"/>
          <w:szCs w:val="28"/>
        </w:rPr>
        <w:t xml:space="preserve">квартирах многоквартирных домах </w:t>
      </w:r>
      <w:r w:rsidRPr="009C6B0C">
        <w:rPr>
          <w:sz w:val="28"/>
          <w:szCs w:val="28"/>
        </w:rPr>
        <w:t>и другое.</w:t>
      </w:r>
    </w:p>
    <w:p w:rsidR="00E06EDD" w:rsidRDefault="00E06EDD" w:rsidP="00E06EDD">
      <w:pPr>
        <w:ind w:firstLine="714"/>
        <w:jc w:val="both"/>
        <w:rPr>
          <w:sz w:val="28"/>
          <w:szCs w:val="28"/>
        </w:rPr>
      </w:pPr>
      <w:r w:rsidRPr="00661D77">
        <w:rPr>
          <w:sz w:val="28"/>
          <w:szCs w:val="28"/>
        </w:rPr>
        <w:t xml:space="preserve">В результате рейда по 30 многоквартирным домам </w:t>
      </w:r>
      <w:r>
        <w:rPr>
          <w:sz w:val="28"/>
          <w:szCs w:val="28"/>
        </w:rPr>
        <w:t xml:space="preserve">и принятым соответствующих мерам </w:t>
      </w:r>
      <w:r w:rsidRPr="00661D77">
        <w:rPr>
          <w:sz w:val="28"/>
          <w:szCs w:val="28"/>
        </w:rPr>
        <w:t xml:space="preserve">доля </w:t>
      </w:r>
      <w:r>
        <w:rPr>
          <w:sz w:val="28"/>
          <w:szCs w:val="28"/>
        </w:rPr>
        <w:t xml:space="preserve">электроснабжения </w:t>
      </w:r>
      <w:proofErr w:type="gramStart"/>
      <w:r>
        <w:rPr>
          <w:sz w:val="28"/>
          <w:szCs w:val="28"/>
        </w:rPr>
        <w:t xml:space="preserve">на </w:t>
      </w:r>
      <w:r w:rsidRPr="00661D77">
        <w:rPr>
          <w:sz w:val="28"/>
          <w:szCs w:val="28"/>
        </w:rPr>
        <w:t xml:space="preserve"> ОДН</w:t>
      </w:r>
      <w:proofErr w:type="gramEnd"/>
      <w:r w:rsidRPr="00661D77">
        <w:rPr>
          <w:sz w:val="28"/>
          <w:szCs w:val="28"/>
        </w:rPr>
        <w:t xml:space="preserve"> </w:t>
      </w:r>
      <w:r>
        <w:rPr>
          <w:sz w:val="28"/>
          <w:szCs w:val="28"/>
        </w:rPr>
        <w:t xml:space="preserve">в общем объеме потребления электроэнергии в домах </w:t>
      </w:r>
      <w:r w:rsidRPr="00661D77">
        <w:rPr>
          <w:sz w:val="28"/>
          <w:szCs w:val="28"/>
        </w:rPr>
        <w:t>снизилась на 10%.</w:t>
      </w:r>
    </w:p>
    <w:p w:rsidR="00E06EDD" w:rsidRPr="00661D77" w:rsidRDefault="00E06EDD" w:rsidP="00E06EDD">
      <w:pPr>
        <w:ind w:firstLine="714"/>
        <w:jc w:val="both"/>
        <w:rPr>
          <w:sz w:val="28"/>
          <w:szCs w:val="28"/>
        </w:rPr>
      </w:pPr>
      <w:r>
        <w:rPr>
          <w:sz w:val="28"/>
          <w:szCs w:val="28"/>
        </w:rPr>
        <w:t>Более подробная информация и анализ электропотребления прозвучит в докладе руководителя ООО  «ЭСКБ».</w:t>
      </w:r>
    </w:p>
    <w:p w:rsidR="00E06EDD" w:rsidRDefault="00E06EDD" w:rsidP="00E06EDD">
      <w:pPr>
        <w:jc w:val="both"/>
        <w:rPr>
          <w:sz w:val="28"/>
          <w:szCs w:val="28"/>
        </w:rPr>
      </w:pPr>
      <w:r>
        <w:rPr>
          <w:sz w:val="28"/>
          <w:szCs w:val="28"/>
        </w:rPr>
        <w:t xml:space="preserve"> </w:t>
      </w:r>
      <w:r>
        <w:rPr>
          <w:sz w:val="28"/>
          <w:szCs w:val="28"/>
        </w:rPr>
        <w:tab/>
        <w:t>Совместная работа продолжается.</w:t>
      </w:r>
    </w:p>
    <w:p w:rsidR="00E06EDD" w:rsidRDefault="00E06EDD" w:rsidP="00E06EDD">
      <w:pPr>
        <w:jc w:val="both"/>
        <w:rPr>
          <w:sz w:val="28"/>
          <w:szCs w:val="28"/>
        </w:rPr>
      </w:pPr>
    </w:p>
    <w:p w:rsidR="00E06EDD" w:rsidRDefault="00E06EDD" w:rsidP="00E06EDD">
      <w:pPr>
        <w:ind w:firstLine="360"/>
        <w:jc w:val="both"/>
        <w:rPr>
          <w:sz w:val="28"/>
          <w:szCs w:val="28"/>
        </w:rPr>
      </w:pPr>
      <w:r>
        <w:rPr>
          <w:sz w:val="28"/>
          <w:szCs w:val="28"/>
        </w:rPr>
        <w:t xml:space="preserve">Хотелось бы обратить внимание присутствующих на то, что в настоящее время ООО «ЭСКБ» производит начисления по </w:t>
      </w:r>
      <w:proofErr w:type="gramStart"/>
      <w:r>
        <w:rPr>
          <w:sz w:val="28"/>
          <w:szCs w:val="28"/>
        </w:rPr>
        <w:t xml:space="preserve">индивидуальным  </w:t>
      </w:r>
      <w:r w:rsidRPr="009C6B0C">
        <w:rPr>
          <w:sz w:val="28"/>
          <w:szCs w:val="28"/>
        </w:rPr>
        <w:t>индукционным</w:t>
      </w:r>
      <w:proofErr w:type="gramEnd"/>
      <w:r w:rsidRPr="00E06EDD">
        <w:rPr>
          <w:b/>
          <w:sz w:val="28"/>
          <w:szCs w:val="28"/>
        </w:rPr>
        <w:t xml:space="preserve"> </w:t>
      </w:r>
      <w:r>
        <w:rPr>
          <w:sz w:val="28"/>
          <w:szCs w:val="28"/>
        </w:rPr>
        <w:t xml:space="preserve">приборам учета электроэнергии, не отвечающим </w:t>
      </w:r>
      <w:r w:rsidRPr="009C6B0C">
        <w:rPr>
          <w:sz w:val="28"/>
          <w:szCs w:val="28"/>
        </w:rPr>
        <w:t>современным</w:t>
      </w:r>
      <w:r>
        <w:rPr>
          <w:sz w:val="28"/>
          <w:szCs w:val="28"/>
        </w:rPr>
        <w:t xml:space="preserve">  требованиям, то есть с  классом точности  2,0  и  более, а также с истекшим сроком эксплуатации.</w:t>
      </w:r>
    </w:p>
    <w:p w:rsidR="00E06EDD" w:rsidRDefault="00E06EDD" w:rsidP="00E06EDD">
      <w:pPr>
        <w:ind w:firstLine="360"/>
        <w:jc w:val="both"/>
        <w:rPr>
          <w:sz w:val="28"/>
          <w:szCs w:val="28"/>
        </w:rPr>
      </w:pPr>
      <w:r>
        <w:rPr>
          <w:sz w:val="28"/>
          <w:szCs w:val="28"/>
        </w:rPr>
        <w:t>Если производить начисления по нормативным значениям, установленных Постановлением Государственного комитета Республики Башкортостан от 31.08.2012г. № 222, то, по мнению представителей ООО «ЭСКБ»,  начисление платы будет значительно ниже, чем фактически потребленные объемы электроэнергии по приборам учета с истекшим сроком действия.</w:t>
      </w:r>
    </w:p>
    <w:p w:rsidR="00E06EDD" w:rsidRDefault="00E06EDD" w:rsidP="00E06EDD">
      <w:pPr>
        <w:ind w:firstLine="360"/>
        <w:jc w:val="both"/>
        <w:rPr>
          <w:sz w:val="28"/>
          <w:szCs w:val="28"/>
        </w:rPr>
      </w:pPr>
      <w:r>
        <w:rPr>
          <w:sz w:val="28"/>
          <w:szCs w:val="28"/>
        </w:rPr>
        <w:t xml:space="preserve">На сегодняшний день в Республике Башкортостан норматив потребления для жилых помещений в многоквартирных домах, оборудованных электроплитами, </w:t>
      </w:r>
      <w:r w:rsidRPr="009F3C59">
        <w:rPr>
          <w:sz w:val="28"/>
          <w:szCs w:val="28"/>
        </w:rPr>
        <w:t>составля</w:t>
      </w:r>
      <w:r>
        <w:rPr>
          <w:sz w:val="28"/>
          <w:szCs w:val="28"/>
        </w:rPr>
        <w:t>е</w:t>
      </w:r>
      <w:r w:rsidRPr="009F3C59">
        <w:rPr>
          <w:sz w:val="28"/>
          <w:szCs w:val="28"/>
        </w:rPr>
        <w:t>т</w:t>
      </w:r>
      <w:r>
        <w:rPr>
          <w:sz w:val="28"/>
          <w:szCs w:val="28"/>
        </w:rPr>
        <w:t>:</w:t>
      </w:r>
    </w:p>
    <w:p w:rsidR="00E06EDD" w:rsidRDefault="00E06EDD" w:rsidP="00E06EDD">
      <w:pPr>
        <w:ind w:firstLine="360"/>
        <w:jc w:val="both"/>
        <w:rPr>
          <w:sz w:val="28"/>
          <w:szCs w:val="28"/>
        </w:rPr>
      </w:pPr>
      <w:r>
        <w:rPr>
          <w:sz w:val="28"/>
          <w:szCs w:val="28"/>
        </w:rPr>
        <w:t>-</w:t>
      </w:r>
      <w:r w:rsidRPr="009F3C59">
        <w:rPr>
          <w:sz w:val="28"/>
          <w:szCs w:val="28"/>
        </w:rPr>
        <w:t xml:space="preserve"> для однокомнатной квартиры, в которой зарегистрирован 1 чел – 139</w:t>
      </w:r>
      <w:r>
        <w:rPr>
          <w:sz w:val="28"/>
          <w:szCs w:val="28"/>
        </w:rPr>
        <w:t xml:space="preserve"> </w:t>
      </w:r>
      <w:r w:rsidRPr="009F3C59">
        <w:rPr>
          <w:sz w:val="28"/>
          <w:szCs w:val="28"/>
        </w:rPr>
        <w:t xml:space="preserve">кВтч, </w:t>
      </w:r>
    </w:p>
    <w:p w:rsidR="00E06EDD" w:rsidRDefault="00E06EDD" w:rsidP="00E06EDD">
      <w:pPr>
        <w:ind w:firstLine="360"/>
        <w:rPr>
          <w:sz w:val="28"/>
          <w:szCs w:val="28"/>
        </w:rPr>
      </w:pPr>
      <w:r>
        <w:rPr>
          <w:sz w:val="28"/>
          <w:szCs w:val="28"/>
        </w:rPr>
        <w:t xml:space="preserve">- </w:t>
      </w:r>
      <w:r w:rsidRPr="009F3C59">
        <w:rPr>
          <w:sz w:val="28"/>
          <w:szCs w:val="28"/>
        </w:rPr>
        <w:t xml:space="preserve">для двухкомнатной квартиры, в которой зарегистрирован 2 чел. – 101 кВтч </w:t>
      </w:r>
    </w:p>
    <w:p w:rsidR="00E06EDD" w:rsidRDefault="00E06EDD" w:rsidP="00E06EDD">
      <w:pPr>
        <w:ind w:firstLine="360"/>
        <w:rPr>
          <w:sz w:val="28"/>
          <w:szCs w:val="28"/>
        </w:rPr>
      </w:pPr>
      <w:r>
        <w:rPr>
          <w:sz w:val="28"/>
          <w:szCs w:val="28"/>
        </w:rPr>
        <w:t>Для сравнения:</w:t>
      </w:r>
    </w:p>
    <w:p w:rsidR="00E06EDD" w:rsidRDefault="00E06EDD" w:rsidP="00E06EDD">
      <w:pPr>
        <w:ind w:firstLine="360"/>
        <w:rPr>
          <w:sz w:val="28"/>
          <w:szCs w:val="28"/>
        </w:rPr>
      </w:pPr>
      <w:r>
        <w:rPr>
          <w:sz w:val="28"/>
          <w:szCs w:val="28"/>
        </w:rPr>
        <w:t>В</w:t>
      </w:r>
      <w:r w:rsidRPr="009F3C59">
        <w:rPr>
          <w:sz w:val="28"/>
          <w:szCs w:val="28"/>
        </w:rPr>
        <w:t xml:space="preserve"> Республике </w:t>
      </w:r>
      <w:r>
        <w:rPr>
          <w:sz w:val="28"/>
          <w:szCs w:val="28"/>
        </w:rPr>
        <w:t>«</w:t>
      </w:r>
      <w:r w:rsidRPr="009F3C59">
        <w:rPr>
          <w:sz w:val="28"/>
          <w:szCs w:val="28"/>
        </w:rPr>
        <w:t>Марий Эл</w:t>
      </w:r>
      <w:r>
        <w:rPr>
          <w:sz w:val="28"/>
          <w:szCs w:val="28"/>
        </w:rPr>
        <w:t>»</w:t>
      </w:r>
      <w:r w:rsidRPr="009F3C59">
        <w:rPr>
          <w:sz w:val="28"/>
          <w:szCs w:val="28"/>
        </w:rPr>
        <w:t xml:space="preserve"> эти же нормативы составляют</w:t>
      </w:r>
      <w:r>
        <w:rPr>
          <w:sz w:val="28"/>
          <w:szCs w:val="28"/>
        </w:rPr>
        <w:t>:</w:t>
      </w:r>
    </w:p>
    <w:p w:rsidR="00E06EDD" w:rsidRDefault="00E06EDD" w:rsidP="00E06EDD">
      <w:pPr>
        <w:ind w:firstLine="360"/>
        <w:rPr>
          <w:sz w:val="28"/>
          <w:szCs w:val="28"/>
        </w:rPr>
      </w:pPr>
      <w:r>
        <w:rPr>
          <w:sz w:val="28"/>
          <w:szCs w:val="28"/>
        </w:rPr>
        <w:t>-</w:t>
      </w:r>
      <w:r w:rsidRPr="009F3C59">
        <w:rPr>
          <w:sz w:val="28"/>
          <w:szCs w:val="28"/>
        </w:rPr>
        <w:t xml:space="preserve"> для однокомнатной квартиры, в которой зарегистрирован 1 чел – 172 кВтч, </w:t>
      </w:r>
    </w:p>
    <w:p w:rsidR="00E06EDD" w:rsidRDefault="00E06EDD" w:rsidP="00E06EDD">
      <w:pPr>
        <w:ind w:firstLine="360"/>
        <w:rPr>
          <w:sz w:val="28"/>
          <w:szCs w:val="28"/>
        </w:rPr>
      </w:pPr>
      <w:r>
        <w:rPr>
          <w:sz w:val="28"/>
          <w:szCs w:val="28"/>
        </w:rPr>
        <w:t xml:space="preserve">- </w:t>
      </w:r>
      <w:r w:rsidRPr="009F3C59">
        <w:rPr>
          <w:sz w:val="28"/>
          <w:szCs w:val="28"/>
        </w:rPr>
        <w:t xml:space="preserve">для двухкомнатной квартиры, в которой зарегистрирован 2 чел. – 126 кВтч, что в 1,24 раза выше, чем в Республике Башкортостан. </w:t>
      </w:r>
    </w:p>
    <w:p w:rsidR="00E06EDD" w:rsidRDefault="00E06EDD" w:rsidP="00E06EDD">
      <w:pPr>
        <w:ind w:firstLine="360"/>
        <w:rPr>
          <w:sz w:val="28"/>
          <w:szCs w:val="28"/>
        </w:rPr>
      </w:pPr>
      <w:r>
        <w:rPr>
          <w:sz w:val="28"/>
          <w:szCs w:val="28"/>
        </w:rPr>
        <w:t>В</w:t>
      </w:r>
      <w:r w:rsidRPr="009F3C59">
        <w:rPr>
          <w:sz w:val="28"/>
          <w:szCs w:val="28"/>
        </w:rPr>
        <w:t xml:space="preserve"> Республике Татарстан </w:t>
      </w:r>
      <w:r>
        <w:rPr>
          <w:sz w:val="28"/>
          <w:szCs w:val="28"/>
        </w:rPr>
        <w:t>нормативы составляют:</w:t>
      </w:r>
    </w:p>
    <w:p w:rsidR="00E06EDD" w:rsidRDefault="00E06EDD" w:rsidP="00E06EDD">
      <w:pPr>
        <w:ind w:firstLine="360"/>
        <w:rPr>
          <w:sz w:val="28"/>
          <w:szCs w:val="28"/>
        </w:rPr>
      </w:pPr>
      <w:r>
        <w:rPr>
          <w:sz w:val="28"/>
          <w:szCs w:val="28"/>
        </w:rPr>
        <w:t xml:space="preserve">- </w:t>
      </w:r>
      <w:r w:rsidRPr="009F3C59">
        <w:rPr>
          <w:sz w:val="28"/>
          <w:szCs w:val="28"/>
        </w:rPr>
        <w:t>для однокомнатной квартиры, в которой зарегистрирован 1 чел – 170</w:t>
      </w:r>
      <w:r>
        <w:rPr>
          <w:sz w:val="28"/>
          <w:szCs w:val="28"/>
        </w:rPr>
        <w:t xml:space="preserve"> </w:t>
      </w:r>
      <w:r w:rsidRPr="009F3C59">
        <w:rPr>
          <w:sz w:val="28"/>
          <w:szCs w:val="28"/>
        </w:rPr>
        <w:t xml:space="preserve">кВтч, </w:t>
      </w:r>
    </w:p>
    <w:p w:rsidR="00E06EDD" w:rsidRDefault="00E06EDD" w:rsidP="00E06EDD">
      <w:pPr>
        <w:ind w:firstLine="360"/>
        <w:rPr>
          <w:sz w:val="28"/>
          <w:szCs w:val="28"/>
        </w:rPr>
      </w:pPr>
      <w:r>
        <w:rPr>
          <w:sz w:val="28"/>
          <w:szCs w:val="28"/>
        </w:rPr>
        <w:t xml:space="preserve">- </w:t>
      </w:r>
      <w:r w:rsidRPr="009F3C59">
        <w:rPr>
          <w:sz w:val="28"/>
          <w:szCs w:val="28"/>
        </w:rPr>
        <w:t xml:space="preserve">для двухкомнатной квартиры, в которой зарегистрирован 2 чел – 253 кВтч.  </w:t>
      </w:r>
    </w:p>
    <w:p w:rsidR="00E06EDD" w:rsidRDefault="00E06EDD" w:rsidP="00E06EDD">
      <w:pPr>
        <w:ind w:firstLine="360"/>
        <w:jc w:val="both"/>
        <w:rPr>
          <w:sz w:val="28"/>
          <w:szCs w:val="28"/>
        </w:rPr>
      </w:pPr>
      <w:r>
        <w:rPr>
          <w:sz w:val="28"/>
          <w:szCs w:val="28"/>
        </w:rPr>
        <w:t>Вопрос начисления платы за потребленную электроэнергию по нормативам особо актуален</w:t>
      </w:r>
      <w:r w:rsidRPr="009F3C59">
        <w:rPr>
          <w:sz w:val="28"/>
          <w:szCs w:val="28"/>
        </w:rPr>
        <w:t xml:space="preserve"> в нашем Калининском районе, </w:t>
      </w:r>
      <w:r>
        <w:rPr>
          <w:sz w:val="28"/>
          <w:szCs w:val="28"/>
        </w:rPr>
        <w:t>в котором м</w:t>
      </w:r>
      <w:r w:rsidRPr="009F3C59">
        <w:rPr>
          <w:sz w:val="28"/>
          <w:szCs w:val="28"/>
        </w:rPr>
        <w:t>ного коммунальных квартир, ветхих жилых помещений и общежитий, где не имеется техническ</w:t>
      </w:r>
      <w:r>
        <w:rPr>
          <w:sz w:val="28"/>
          <w:szCs w:val="28"/>
        </w:rPr>
        <w:t>ой</w:t>
      </w:r>
      <w:r w:rsidRPr="009F3C59">
        <w:rPr>
          <w:sz w:val="28"/>
          <w:szCs w:val="28"/>
        </w:rPr>
        <w:t xml:space="preserve"> возможност</w:t>
      </w:r>
      <w:r>
        <w:rPr>
          <w:sz w:val="28"/>
          <w:szCs w:val="28"/>
        </w:rPr>
        <w:t>и</w:t>
      </w:r>
      <w:r w:rsidRPr="009F3C59">
        <w:rPr>
          <w:sz w:val="28"/>
          <w:szCs w:val="28"/>
        </w:rPr>
        <w:t xml:space="preserve"> установить приборы учет</w:t>
      </w:r>
      <w:r>
        <w:rPr>
          <w:sz w:val="28"/>
          <w:szCs w:val="28"/>
        </w:rPr>
        <w:t>а</w:t>
      </w:r>
      <w:r w:rsidRPr="009F3C59">
        <w:rPr>
          <w:sz w:val="28"/>
          <w:szCs w:val="28"/>
        </w:rPr>
        <w:t xml:space="preserve"> электроэнергии. </w:t>
      </w:r>
    </w:p>
    <w:p w:rsidR="00E06EDD" w:rsidRPr="005F53C1" w:rsidRDefault="00E06EDD" w:rsidP="00E06EDD">
      <w:pPr>
        <w:ind w:firstLine="708"/>
        <w:jc w:val="both"/>
        <w:rPr>
          <w:sz w:val="28"/>
          <w:szCs w:val="28"/>
        </w:rPr>
      </w:pPr>
      <w:r w:rsidRPr="005F53C1">
        <w:rPr>
          <w:sz w:val="28"/>
          <w:szCs w:val="28"/>
        </w:rPr>
        <w:t>Предлагаем Государственному Комитету Республики Башкортостан по тарифам рассмотреть вопрос увеличения норматива электропотребления в жилых помещениях.</w:t>
      </w:r>
    </w:p>
    <w:p w:rsidR="00E06EDD" w:rsidRPr="00385EBA" w:rsidRDefault="00E06EDD" w:rsidP="006856EC">
      <w:pPr>
        <w:ind w:firstLine="708"/>
        <w:jc w:val="both"/>
        <w:rPr>
          <w:sz w:val="28"/>
          <w:szCs w:val="28"/>
        </w:rPr>
      </w:pPr>
      <w:r w:rsidRPr="00385EBA">
        <w:rPr>
          <w:sz w:val="28"/>
          <w:szCs w:val="28"/>
        </w:rPr>
        <w:t>Кроме того, необходимо внести изменения и дополнения в перечень норматив</w:t>
      </w:r>
      <w:r w:rsidR="005F53C1" w:rsidRPr="00385EBA">
        <w:rPr>
          <w:sz w:val="28"/>
          <w:szCs w:val="28"/>
        </w:rPr>
        <w:t>ов</w:t>
      </w:r>
      <w:r w:rsidRPr="00385EBA">
        <w:rPr>
          <w:sz w:val="28"/>
          <w:szCs w:val="28"/>
        </w:rPr>
        <w:t xml:space="preserve"> энергопотребляющего оборудования, указанн</w:t>
      </w:r>
      <w:r w:rsidR="005F53C1" w:rsidRPr="00385EBA">
        <w:rPr>
          <w:sz w:val="28"/>
          <w:szCs w:val="28"/>
        </w:rPr>
        <w:t>ого</w:t>
      </w:r>
      <w:r w:rsidRPr="00385EBA">
        <w:rPr>
          <w:sz w:val="28"/>
          <w:szCs w:val="28"/>
        </w:rPr>
        <w:t xml:space="preserve"> в приложении №1 Постановления ГК РБ по тарифам от 31.08.2012 № 222 </w:t>
      </w:r>
      <w:proofErr w:type="gramStart"/>
      <w:r w:rsidRPr="00385EBA">
        <w:rPr>
          <w:sz w:val="28"/>
          <w:szCs w:val="28"/>
        </w:rPr>
        <w:t>( в</w:t>
      </w:r>
      <w:proofErr w:type="gramEnd"/>
      <w:r w:rsidRPr="00385EBA">
        <w:rPr>
          <w:sz w:val="28"/>
          <w:szCs w:val="28"/>
        </w:rPr>
        <w:t xml:space="preserve"> редакции </w:t>
      </w:r>
      <w:r w:rsidRPr="00385EBA">
        <w:rPr>
          <w:sz w:val="28"/>
          <w:szCs w:val="28"/>
        </w:rPr>
        <w:lastRenderedPageBreak/>
        <w:t xml:space="preserve">постановления от </w:t>
      </w:r>
      <w:r w:rsidR="00385EBA">
        <w:rPr>
          <w:sz w:val="28"/>
          <w:szCs w:val="28"/>
        </w:rPr>
        <w:t>06.11.2012г.</w:t>
      </w:r>
      <w:r w:rsidRPr="00385EBA">
        <w:rPr>
          <w:sz w:val="28"/>
          <w:szCs w:val="28"/>
        </w:rPr>
        <w:t xml:space="preserve"> № 351):</w:t>
      </w:r>
      <w:r w:rsidR="006856EC" w:rsidRPr="00385EBA">
        <w:rPr>
          <w:sz w:val="28"/>
          <w:szCs w:val="28"/>
        </w:rPr>
        <w:t xml:space="preserve"> </w:t>
      </w:r>
      <w:r w:rsidRPr="00385EBA">
        <w:rPr>
          <w:sz w:val="28"/>
          <w:szCs w:val="28"/>
        </w:rPr>
        <w:t>взамен  «силовое оборудование лифта» ввести: «силовое оборудование пассажирского лифта» и  «силовое оборудование грузового лифта»,</w:t>
      </w:r>
    </w:p>
    <w:p w:rsidR="00E06EDD" w:rsidRPr="00385EBA" w:rsidRDefault="00E06EDD" w:rsidP="00F75956">
      <w:pPr>
        <w:ind w:left="708"/>
        <w:jc w:val="both"/>
        <w:rPr>
          <w:sz w:val="28"/>
          <w:szCs w:val="28"/>
        </w:rPr>
      </w:pPr>
      <w:r w:rsidRPr="00385EBA">
        <w:rPr>
          <w:sz w:val="28"/>
          <w:szCs w:val="28"/>
        </w:rPr>
        <w:t xml:space="preserve">  </w:t>
      </w:r>
    </w:p>
    <w:p w:rsidR="00E06EDD" w:rsidRPr="00385EBA" w:rsidRDefault="00E06EDD" w:rsidP="00E06EDD">
      <w:pPr>
        <w:ind w:firstLine="708"/>
        <w:jc w:val="both"/>
        <w:rPr>
          <w:sz w:val="28"/>
          <w:szCs w:val="28"/>
        </w:rPr>
      </w:pPr>
      <w:r w:rsidRPr="00385EBA">
        <w:rPr>
          <w:sz w:val="28"/>
          <w:szCs w:val="28"/>
        </w:rPr>
        <w:t xml:space="preserve">Снижению расходов </w:t>
      </w:r>
      <w:proofErr w:type="gramStart"/>
      <w:r w:rsidRPr="00385EBA">
        <w:rPr>
          <w:sz w:val="28"/>
          <w:szCs w:val="28"/>
        </w:rPr>
        <w:t>электроэнергии  на</w:t>
      </w:r>
      <w:proofErr w:type="gramEnd"/>
      <w:r w:rsidRPr="00385EBA">
        <w:rPr>
          <w:sz w:val="28"/>
          <w:szCs w:val="28"/>
        </w:rPr>
        <w:t xml:space="preserve"> ОДН будет способствовать выполнение следующих мероприятий:</w:t>
      </w:r>
    </w:p>
    <w:p w:rsidR="00E06EDD" w:rsidRPr="00385EBA" w:rsidRDefault="00E06EDD" w:rsidP="00E06EDD">
      <w:pPr>
        <w:jc w:val="both"/>
        <w:rPr>
          <w:sz w:val="28"/>
          <w:szCs w:val="28"/>
        </w:rPr>
      </w:pPr>
      <w:r w:rsidRPr="00385EBA">
        <w:rPr>
          <w:sz w:val="28"/>
          <w:szCs w:val="28"/>
        </w:rPr>
        <w:t>1. Внедрение во все многоквартирные дома дистанционной передачи показаний индивидуальных приборов учета электроэнергии, т.е. установка  приборов учета с модемом.</w:t>
      </w:r>
    </w:p>
    <w:p w:rsidR="00E06EDD" w:rsidRPr="00385EBA" w:rsidRDefault="00E06EDD" w:rsidP="00E06EDD">
      <w:pPr>
        <w:jc w:val="both"/>
        <w:rPr>
          <w:sz w:val="28"/>
          <w:szCs w:val="28"/>
        </w:rPr>
      </w:pPr>
      <w:r w:rsidRPr="00385EBA">
        <w:rPr>
          <w:sz w:val="28"/>
          <w:szCs w:val="28"/>
        </w:rPr>
        <w:t>2.  Включение в норматив потребления электропотребления на ОДН площадей ранее неучтенных общедомовых помещений (например: шахты лифтов, освещаемые чердачные помещения).</w:t>
      </w:r>
    </w:p>
    <w:p w:rsidR="00E06EDD" w:rsidRPr="00385EBA" w:rsidRDefault="00E06EDD" w:rsidP="00E06EDD">
      <w:pPr>
        <w:jc w:val="both"/>
        <w:rPr>
          <w:sz w:val="28"/>
          <w:szCs w:val="28"/>
        </w:rPr>
      </w:pPr>
      <w:r w:rsidRPr="00385EBA">
        <w:rPr>
          <w:sz w:val="28"/>
          <w:szCs w:val="28"/>
        </w:rPr>
        <w:t>3. Внедрение энергосберегающих мероприятий, а именно:</w:t>
      </w:r>
    </w:p>
    <w:p w:rsidR="00E06EDD" w:rsidRPr="00385EBA" w:rsidRDefault="00E06EDD" w:rsidP="00E06EDD">
      <w:pPr>
        <w:numPr>
          <w:ilvl w:val="0"/>
          <w:numId w:val="2"/>
        </w:numPr>
        <w:rPr>
          <w:sz w:val="28"/>
          <w:szCs w:val="28"/>
        </w:rPr>
      </w:pPr>
      <w:r w:rsidRPr="00385EBA">
        <w:rPr>
          <w:sz w:val="28"/>
          <w:szCs w:val="28"/>
        </w:rPr>
        <w:t>установка датчиков движения на лампы, освещающие места общего пользования;</w:t>
      </w:r>
    </w:p>
    <w:p w:rsidR="00E06EDD" w:rsidRPr="00385EBA" w:rsidRDefault="00E06EDD" w:rsidP="00E06EDD">
      <w:pPr>
        <w:numPr>
          <w:ilvl w:val="0"/>
          <w:numId w:val="2"/>
        </w:numPr>
        <w:rPr>
          <w:sz w:val="28"/>
          <w:szCs w:val="28"/>
        </w:rPr>
      </w:pPr>
      <w:r w:rsidRPr="00385EBA">
        <w:rPr>
          <w:sz w:val="28"/>
          <w:szCs w:val="28"/>
        </w:rPr>
        <w:t>установка энергосберегающих ламп.</w:t>
      </w:r>
    </w:p>
    <w:p w:rsidR="00E06EDD" w:rsidRPr="00915BB0" w:rsidRDefault="00E06EDD" w:rsidP="00E06EDD">
      <w:pPr>
        <w:ind w:firstLine="708"/>
        <w:jc w:val="both"/>
        <w:rPr>
          <w:sz w:val="28"/>
          <w:szCs w:val="28"/>
        </w:rPr>
      </w:pPr>
    </w:p>
    <w:p w:rsidR="00E06EDD" w:rsidRDefault="00E06EDD" w:rsidP="00E06EDD">
      <w:pPr>
        <w:ind w:firstLine="708"/>
        <w:jc w:val="both"/>
        <w:rPr>
          <w:sz w:val="28"/>
          <w:szCs w:val="28"/>
        </w:rPr>
      </w:pPr>
      <w:r>
        <w:rPr>
          <w:sz w:val="28"/>
          <w:szCs w:val="28"/>
        </w:rPr>
        <w:t>Особое внимание хотелось бы уделить порядку  начисления собственникам помещений платы по статье «электроэнергия на ОДН».</w:t>
      </w:r>
      <w:r w:rsidRPr="00643B55">
        <w:rPr>
          <w:sz w:val="28"/>
          <w:szCs w:val="28"/>
        </w:rPr>
        <w:t xml:space="preserve"> </w:t>
      </w:r>
    </w:p>
    <w:p w:rsidR="00E06EDD" w:rsidRPr="004B462F" w:rsidRDefault="00E06EDD" w:rsidP="00E06EDD">
      <w:pPr>
        <w:ind w:firstLine="708"/>
        <w:jc w:val="both"/>
        <w:rPr>
          <w:sz w:val="28"/>
          <w:szCs w:val="28"/>
        </w:rPr>
      </w:pPr>
      <w:r>
        <w:rPr>
          <w:sz w:val="28"/>
          <w:szCs w:val="28"/>
        </w:rPr>
        <w:t xml:space="preserve">В соответствии с п. 13 приложения № 2 </w:t>
      </w:r>
      <w:r w:rsidRPr="00DC1E30">
        <w:rPr>
          <w:sz w:val="28"/>
          <w:szCs w:val="28"/>
        </w:rPr>
        <w:t>Постановления Правит</w:t>
      </w:r>
      <w:r>
        <w:rPr>
          <w:sz w:val="28"/>
          <w:szCs w:val="28"/>
        </w:rPr>
        <w:t xml:space="preserve">ельства Российской Федерации  № </w:t>
      </w:r>
      <w:r w:rsidRPr="00DC1E30">
        <w:rPr>
          <w:sz w:val="28"/>
          <w:szCs w:val="28"/>
        </w:rPr>
        <w:t>354 от 06.05.2011г. «О предоставлении коммунальных услуг собственникам и пользователям помещений в многоквартирных домах и жилых домов»</w:t>
      </w:r>
      <w:r>
        <w:rPr>
          <w:sz w:val="28"/>
          <w:szCs w:val="28"/>
        </w:rPr>
        <w:t xml:space="preserve"> </w:t>
      </w:r>
      <w:r w:rsidRPr="004B462F">
        <w:rPr>
          <w:sz w:val="28"/>
          <w:szCs w:val="28"/>
        </w:rPr>
        <w:t>объем электрической энергии, предоставленный на общедомовые нужды</w:t>
      </w:r>
      <w:r w:rsidR="002D79A4">
        <w:rPr>
          <w:sz w:val="28"/>
          <w:szCs w:val="28"/>
        </w:rPr>
        <w:t>,</w:t>
      </w:r>
      <w:r w:rsidRPr="004B462F">
        <w:rPr>
          <w:sz w:val="28"/>
          <w:szCs w:val="28"/>
        </w:rPr>
        <w:t xml:space="preserve"> оборудованном коллективным (общедомовым) прибором учета</w:t>
      </w:r>
      <w:r w:rsidR="002D79A4">
        <w:rPr>
          <w:sz w:val="28"/>
          <w:szCs w:val="28"/>
        </w:rPr>
        <w:t>,</w:t>
      </w:r>
      <w:r w:rsidRPr="004B462F">
        <w:rPr>
          <w:sz w:val="28"/>
          <w:szCs w:val="28"/>
        </w:rPr>
        <w:t xml:space="preserve"> определяется по формуле</w:t>
      </w:r>
      <w:r>
        <w:rPr>
          <w:sz w:val="28"/>
          <w:szCs w:val="28"/>
        </w:rPr>
        <w:t>, которую вы видите на экране:</w:t>
      </w:r>
    </w:p>
    <w:p w:rsidR="00E06EDD" w:rsidRPr="004B462F" w:rsidRDefault="00E06EDD" w:rsidP="00E06EDD">
      <w:pPr>
        <w:widowControl w:val="0"/>
        <w:autoSpaceDE w:val="0"/>
        <w:autoSpaceDN w:val="0"/>
        <w:adjustRightInd w:val="0"/>
        <w:ind w:firstLine="540"/>
        <w:jc w:val="both"/>
        <w:rPr>
          <w:sz w:val="28"/>
          <w:szCs w:val="28"/>
        </w:rPr>
      </w:pPr>
    </w:p>
    <w:p w:rsidR="00E06EDD" w:rsidRPr="004B462F" w:rsidRDefault="00E06EDD" w:rsidP="00E06EDD">
      <w:pPr>
        <w:widowControl w:val="0"/>
        <w:autoSpaceDE w:val="0"/>
        <w:autoSpaceDN w:val="0"/>
        <w:adjustRightInd w:val="0"/>
        <w:jc w:val="center"/>
        <w:rPr>
          <w:sz w:val="28"/>
          <w:szCs w:val="28"/>
        </w:rPr>
      </w:pPr>
      <w:r w:rsidRPr="004B462F">
        <w:rPr>
          <w:noProof/>
          <w:sz w:val="28"/>
          <w:szCs w:val="28"/>
        </w:rPr>
        <w:drawing>
          <wp:inline distT="0" distB="0" distL="0" distR="0">
            <wp:extent cx="4123628" cy="476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5748" cy="476495"/>
                    </a:xfrm>
                    <a:prstGeom prst="rect">
                      <a:avLst/>
                    </a:prstGeom>
                    <a:noFill/>
                    <a:ln>
                      <a:noFill/>
                    </a:ln>
                  </pic:spPr>
                </pic:pic>
              </a:graphicData>
            </a:graphic>
          </wp:inline>
        </w:drawing>
      </w:r>
      <w:r w:rsidRPr="004B462F">
        <w:rPr>
          <w:sz w:val="28"/>
          <w:szCs w:val="28"/>
        </w:rPr>
        <w:t>,</w:t>
      </w:r>
    </w:p>
    <w:p w:rsidR="00E06EDD" w:rsidRDefault="00E06EDD" w:rsidP="00E06EDD">
      <w:pPr>
        <w:widowControl w:val="0"/>
        <w:autoSpaceDE w:val="0"/>
        <w:autoSpaceDN w:val="0"/>
        <w:adjustRightInd w:val="0"/>
        <w:ind w:firstLine="540"/>
        <w:jc w:val="both"/>
        <w:rPr>
          <w:sz w:val="28"/>
          <w:szCs w:val="28"/>
        </w:rPr>
      </w:pPr>
      <w:r>
        <w:rPr>
          <w:sz w:val="28"/>
          <w:szCs w:val="28"/>
        </w:rPr>
        <w:t xml:space="preserve">Если считать, что расход электроэнергии на общедомовые нужды – </w:t>
      </w:r>
      <w:proofErr w:type="gramStart"/>
      <w:r>
        <w:rPr>
          <w:sz w:val="28"/>
          <w:szCs w:val="28"/>
        </w:rPr>
        <w:t xml:space="preserve">это </w:t>
      </w:r>
      <w:r w:rsidRPr="0077488F">
        <w:rPr>
          <w:sz w:val="28"/>
          <w:szCs w:val="28"/>
        </w:rPr>
        <w:t xml:space="preserve"> </w:t>
      </w:r>
      <w:r w:rsidR="005F53C1" w:rsidRPr="00385EBA">
        <w:rPr>
          <w:sz w:val="28"/>
          <w:szCs w:val="28"/>
        </w:rPr>
        <w:t>действительно</w:t>
      </w:r>
      <w:proofErr w:type="gramEnd"/>
      <w:r w:rsidR="005F53C1" w:rsidRPr="005F53C1">
        <w:rPr>
          <w:b/>
          <w:sz w:val="28"/>
          <w:szCs w:val="28"/>
        </w:rPr>
        <w:t xml:space="preserve"> </w:t>
      </w:r>
      <w:r>
        <w:rPr>
          <w:sz w:val="28"/>
          <w:szCs w:val="28"/>
        </w:rPr>
        <w:t>электропотребление только общедомового оборудования</w:t>
      </w:r>
      <w:r w:rsidR="005F53C1">
        <w:rPr>
          <w:sz w:val="28"/>
          <w:szCs w:val="28"/>
        </w:rPr>
        <w:t xml:space="preserve">: </w:t>
      </w:r>
      <w:r>
        <w:rPr>
          <w:sz w:val="28"/>
          <w:szCs w:val="28"/>
        </w:rPr>
        <w:t xml:space="preserve">освещение лестничных клеток, подвалов, чердаков, </w:t>
      </w:r>
      <w:r w:rsidRPr="004C09B1">
        <w:rPr>
          <w:sz w:val="28"/>
          <w:szCs w:val="28"/>
        </w:rPr>
        <w:t xml:space="preserve">антенных усилителей, </w:t>
      </w:r>
      <w:r>
        <w:rPr>
          <w:sz w:val="28"/>
          <w:szCs w:val="28"/>
        </w:rPr>
        <w:t xml:space="preserve">лифтового оборудования, </w:t>
      </w:r>
      <w:r w:rsidRPr="004C09B1">
        <w:rPr>
          <w:sz w:val="28"/>
          <w:szCs w:val="28"/>
        </w:rPr>
        <w:t>домофонов,</w:t>
      </w:r>
      <w:r w:rsidR="005F53C1">
        <w:rPr>
          <w:sz w:val="28"/>
          <w:szCs w:val="28"/>
        </w:rPr>
        <w:t xml:space="preserve"> насосного оборудования и т.д.</w:t>
      </w:r>
      <w:r>
        <w:rPr>
          <w:sz w:val="28"/>
          <w:szCs w:val="28"/>
        </w:rPr>
        <w:t xml:space="preserve">, то </w:t>
      </w:r>
      <w:r w:rsidR="002D79A4" w:rsidRPr="00385EBA">
        <w:rPr>
          <w:sz w:val="28"/>
          <w:szCs w:val="28"/>
        </w:rPr>
        <w:t xml:space="preserve">применение </w:t>
      </w:r>
      <w:r w:rsidRPr="00385EBA">
        <w:rPr>
          <w:sz w:val="28"/>
          <w:szCs w:val="28"/>
        </w:rPr>
        <w:t>вышеуказанн</w:t>
      </w:r>
      <w:r w:rsidR="002D79A4" w:rsidRPr="00385EBA">
        <w:rPr>
          <w:sz w:val="28"/>
          <w:szCs w:val="28"/>
        </w:rPr>
        <w:t>ой</w:t>
      </w:r>
      <w:r w:rsidRPr="00385EBA">
        <w:rPr>
          <w:sz w:val="28"/>
          <w:szCs w:val="28"/>
        </w:rPr>
        <w:t xml:space="preserve"> формул</w:t>
      </w:r>
      <w:r w:rsidR="002D79A4" w:rsidRPr="00385EBA">
        <w:rPr>
          <w:sz w:val="28"/>
          <w:szCs w:val="28"/>
        </w:rPr>
        <w:t>ы для начисления платы</w:t>
      </w:r>
      <w:r w:rsidRPr="002D79A4">
        <w:rPr>
          <w:b/>
          <w:sz w:val="28"/>
          <w:szCs w:val="28"/>
        </w:rPr>
        <w:t xml:space="preserve"> </w:t>
      </w:r>
      <w:r w:rsidRPr="00385EBA">
        <w:rPr>
          <w:sz w:val="28"/>
          <w:szCs w:val="28"/>
        </w:rPr>
        <w:t xml:space="preserve">позволяет </w:t>
      </w:r>
      <w:r w:rsidR="005F53C1" w:rsidRPr="00385EBA">
        <w:rPr>
          <w:sz w:val="28"/>
          <w:szCs w:val="28"/>
        </w:rPr>
        <w:t>ООО «ЭСКБ»</w:t>
      </w:r>
      <w:r w:rsidR="005F53C1">
        <w:rPr>
          <w:sz w:val="28"/>
          <w:szCs w:val="28"/>
        </w:rPr>
        <w:t xml:space="preserve"> </w:t>
      </w:r>
      <w:r>
        <w:rPr>
          <w:sz w:val="28"/>
          <w:szCs w:val="28"/>
        </w:rPr>
        <w:t>распределять на собственников жилых помещений ту разницу, которая образовывается при начислении платы недобросовестным плательщикам.</w:t>
      </w:r>
    </w:p>
    <w:p w:rsidR="00E06EDD" w:rsidRDefault="00E06EDD" w:rsidP="00E06EDD">
      <w:pPr>
        <w:widowControl w:val="0"/>
        <w:autoSpaceDE w:val="0"/>
        <w:autoSpaceDN w:val="0"/>
        <w:adjustRightInd w:val="0"/>
        <w:ind w:firstLine="540"/>
        <w:jc w:val="both"/>
        <w:rPr>
          <w:sz w:val="28"/>
          <w:szCs w:val="28"/>
        </w:rPr>
      </w:pPr>
      <w:r>
        <w:rPr>
          <w:sz w:val="28"/>
          <w:szCs w:val="28"/>
        </w:rPr>
        <w:t>Именно этот аспект вызывает огромное количество жалоб, когда «добросовестный сосед» платит за «недобросовестного соседа».</w:t>
      </w:r>
    </w:p>
    <w:p w:rsidR="00C371F9" w:rsidRDefault="00C371F9" w:rsidP="00E06EDD">
      <w:pPr>
        <w:widowControl w:val="0"/>
        <w:autoSpaceDE w:val="0"/>
        <w:autoSpaceDN w:val="0"/>
        <w:adjustRightInd w:val="0"/>
        <w:ind w:firstLine="540"/>
        <w:jc w:val="both"/>
        <w:rPr>
          <w:sz w:val="28"/>
          <w:szCs w:val="28"/>
        </w:rPr>
      </w:pPr>
      <w:r>
        <w:rPr>
          <w:sz w:val="28"/>
          <w:szCs w:val="28"/>
        </w:rPr>
        <w:t xml:space="preserve">Если считать, что </w:t>
      </w:r>
      <w:r w:rsidRPr="00385EBA">
        <w:rPr>
          <w:sz w:val="28"/>
          <w:szCs w:val="28"/>
        </w:rPr>
        <w:t xml:space="preserve">в объем электроэнергии на общедомовые нужды </w:t>
      </w:r>
      <w:r>
        <w:rPr>
          <w:sz w:val="28"/>
          <w:szCs w:val="28"/>
        </w:rPr>
        <w:t>должно быть включено</w:t>
      </w:r>
      <w:r w:rsidRPr="00385EBA">
        <w:rPr>
          <w:sz w:val="28"/>
          <w:szCs w:val="28"/>
        </w:rPr>
        <w:t xml:space="preserve"> энергопотребление только общедомового </w:t>
      </w:r>
      <w:r>
        <w:rPr>
          <w:sz w:val="28"/>
          <w:szCs w:val="28"/>
        </w:rPr>
        <w:t xml:space="preserve">оборудования, </w:t>
      </w:r>
      <w:proofErr w:type="gramStart"/>
      <w:r>
        <w:rPr>
          <w:sz w:val="28"/>
          <w:szCs w:val="28"/>
        </w:rPr>
        <w:t>то  в</w:t>
      </w:r>
      <w:proofErr w:type="gramEnd"/>
      <w:r>
        <w:rPr>
          <w:sz w:val="28"/>
          <w:szCs w:val="28"/>
        </w:rPr>
        <w:t xml:space="preserve"> данную формулу необходимо внести изменения.</w:t>
      </w:r>
    </w:p>
    <w:p w:rsidR="00C371F9" w:rsidRDefault="00C371F9" w:rsidP="00E06EDD">
      <w:pPr>
        <w:widowControl w:val="0"/>
        <w:autoSpaceDE w:val="0"/>
        <w:autoSpaceDN w:val="0"/>
        <w:adjustRightInd w:val="0"/>
        <w:ind w:firstLine="540"/>
        <w:jc w:val="both"/>
        <w:rPr>
          <w:sz w:val="28"/>
          <w:szCs w:val="28"/>
        </w:rPr>
      </w:pPr>
      <w:r>
        <w:rPr>
          <w:sz w:val="28"/>
          <w:szCs w:val="28"/>
        </w:rPr>
        <w:t xml:space="preserve">То есть из </w:t>
      </w:r>
      <w:proofErr w:type="spellStart"/>
      <w:r>
        <w:rPr>
          <w:sz w:val="28"/>
          <w:szCs w:val="28"/>
        </w:rPr>
        <w:t>общегодомового</w:t>
      </w:r>
      <w:proofErr w:type="spellEnd"/>
      <w:r>
        <w:rPr>
          <w:sz w:val="28"/>
          <w:szCs w:val="28"/>
        </w:rPr>
        <w:t xml:space="preserve"> объема электроэнергии должен быть вычтен общеквартирный объем.</w:t>
      </w:r>
    </w:p>
    <w:p w:rsidR="00E06EDD" w:rsidRDefault="00C371F9" w:rsidP="00E06EDD">
      <w:pPr>
        <w:widowControl w:val="0"/>
        <w:autoSpaceDE w:val="0"/>
        <w:autoSpaceDN w:val="0"/>
        <w:adjustRightInd w:val="0"/>
        <w:ind w:firstLine="540"/>
        <w:jc w:val="both"/>
        <w:rPr>
          <w:sz w:val="28"/>
          <w:szCs w:val="28"/>
        </w:rPr>
      </w:pPr>
      <w:r>
        <w:rPr>
          <w:sz w:val="28"/>
          <w:szCs w:val="28"/>
        </w:rPr>
        <w:t>Для этого, в</w:t>
      </w:r>
      <w:r w:rsidR="00E06EDD">
        <w:rPr>
          <w:sz w:val="28"/>
          <w:szCs w:val="28"/>
        </w:rPr>
        <w:t xml:space="preserve"> рамках нашего мониторинга предлагаю провести эксперимент, заключающийся в следующем:</w:t>
      </w:r>
    </w:p>
    <w:p w:rsidR="00E06EDD" w:rsidRDefault="00C371F9" w:rsidP="00E06EDD">
      <w:pPr>
        <w:widowControl w:val="0"/>
        <w:autoSpaceDE w:val="0"/>
        <w:autoSpaceDN w:val="0"/>
        <w:adjustRightInd w:val="0"/>
        <w:ind w:firstLine="540"/>
        <w:jc w:val="both"/>
        <w:rPr>
          <w:sz w:val="28"/>
          <w:szCs w:val="28"/>
        </w:rPr>
      </w:pPr>
      <w:r>
        <w:rPr>
          <w:sz w:val="28"/>
          <w:szCs w:val="28"/>
        </w:rPr>
        <w:lastRenderedPageBreak/>
        <w:t xml:space="preserve">1. </w:t>
      </w:r>
      <w:r w:rsidR="00E06EDD">
        <w:rPr>
          <w:sz w:val="28"/>
          <w:szCs w:val="28"/>
        </w:rPr>
        <w:t>Установить в ВРУ нескольких многоквартирных домов, где это технически возможно, «общеквартирные приборы учета расхода электроэнергии».</w:t>
      </w:r>
    </w:p>
    <w:p w:rsidR="00294E4A" w:rsidRDefault="00294E4A" w:rsidP="00294E4A">
      <w:pPr>
        <w:widowControl w:val="0"/>
        <w:autoSpaceDE w:val="0"/>
        <w:autoSpaceDN w:val="0"/>
        <w:adjustRightInd w:val="0"/>
        <w:ind w:firstLine="540"/>
        <w:jc w:val="both"/>
        <w:rPr>
          <w:sz w:val="28"/>
          <w:szCs w:val="28"/>
        </w:rPr>
      </w:pPr>
      <w:r>
        <w:rPr>
          <w:noProof/>
        </w:rPr>
        <mc:AlternateContent>
          <mc:Choice Requires="wps">
            <w:drawing>
              <wp:anchor distT="0" distB="0" distL="114300" distR="114300" simplePos="0" relativeHeight="251663360" behindDoc="0" locked="0" layoutInCell="1" allowOverlap="1" wp14:anchorId="043F1558" wp14:editId="0322808D">
                <wp:simplePos x="0" y="0"/>
                <wp:positionH relativeFrom="margin">
                  <wp:align>center</wp:align>
                </wp:positionH>
                <wp:positionV relativeFrom="paragraph">
                  <wp:posOffset>536575</wp:posOffset>
                </wp:positionV>
                <wp:extent cx="3280962" cy="318100"/>
                <wp:effectExtent l="0" t="0" r="17780" b="8890"/>
                <wp:wrapNone/>
                <wp:docPr id="4" name="TextBox 3"/>
                <wp:cNvGraphicFramePr/>
                <a:graphic xmlns:a="http://schemas.openxmlformats.org/drawingml/2006/main">
                  <a:graphicData uri="http://schemas.microsoft.com/office/word/2010/wordprocessingShape">
                    <wps:wsp>
                      <wps:cNvSpPr txBox="1"/>
                      <wps:spPr>
                        <a:xfrm>
                          <a:off x="0" y="0"/>
                          <a:ext cx="3280962" cy="318100"/>
                        </a:xfrm>
                        <a:prstGeom prst="rect">
                          <a:avLst/>
                        </a:prstGeom>
                        <a:noFill/>
                        <a:ln>
                          <a:noFill/>
                        </a:ln>
                        <a:effectLst/>
                      </wps:spPr>
                      <wps:txbx>
                        <w:txbxContent>
                          <w:p w:rsidR="00C71E95" w:rsidRDefault="00C71E95" w:rsidP="00C71E95">
                            <w:pPr>
                              <w:pStyle w:val="a6"/>
                              <w:spacing w:before="0" w:beforeAutospacing="0" w:after="0" w:afterAutospacing="0"/>
                            </w:pPr>
                            <m:oMathPara>
                              <m:oMathParaPr>
                                <m:jc m:val="centerGroup"/>
                              </m:oMathParaPr>
                              <m:oMath>
                                <m:r>
                                  <w:rPr>
                                    <w:rFonts w:ascii="Cambria Math" w:eastAsia="Times New Roman" w:hAnsi="Cambria Math"/>
                                    <w:color w:val="000000"/>
                                    <w:sz w:val="22"/>
                                    <w:szCs w:val="22"/>
                                  </w:rPr>
                                  <m:t>V</m:t>
                                </m:r>
                                <m:r>
                                  <w:rPr>
                                    <w:rFonts w:ascii="Cambria Math" w:eastAsia="Times New Roman" w:hAnsi="Cambria Math"/>
                                    <w:color w:val="000000"/>
                                    <w:position w:val="-6"/>
                                    <w:sz w:val="22"/>
                                    <w:szCs w:val="22"/>
                                    <w:vertAlign w:val="subscript"/>
                                  </w:rPr>
                                  <m:t>i</m:t>
                                </m:r>
                                <m:r>
                                  <w:rPr>
                                    <w:rFonts w:ascii="Cambria Math" w:eastAsia="Times New Roman" w:hAnsi="Cambria Math"/>
                                    <w:color w:val="000000"/>
                                    <w:position w:val="7"/>
                                    <w:sz w:val="22"/>
                                    <w:szCs w:val="22"/>
                                    <w:vertAlign w:val="superscript"/>
                                  </w:rPr>
                                  <m:t>одн 2</m:t>
                                </m:r>
                                <m:r>
                                  <w:rPr>
                                    <w:rFonts w:ascii="Cambria Math" w:eastAsia="Times New Roman" w:hAnsi="Cambria Math"/>
                                    <w:color w:val="000000"/>
                                    <w:sz w:val="22"/>
                                    <w:szCs w:val="22"/>
                                  </w:rPr>
                                  <m:t>=(V</m:t>
                                </m:r>
                                <m:r>
                                  <w:rPr>
                                    <w:rFonts w:ascii="Cambria Math" w:eastAsia="Times New Roman" w:hAnsi="Cambria Math"/>
                                    <w:color w:val="000000"/>
                                    <w:position w:val="7"/>
                                    <w:sz w:val="22"/>
                                    <w:szCs w:val="22"/>
                                    <w:vertAlign w:val="superscript"/>
                                  </w:rPr>
                                  <m:t>д</m:t>
                                </m:r>
                                <m:r>
                                  <w:rPr>
                                    <w:rFonts w:ascii="Cambria Math" w:eastAsia="Times New Roman" w:hAnsi="Cambria Math"/>
                                    <w:color w:val="000000"/>
                                    <w:sz w:val="22"/>
                                    <w:szCs w:val="22"/>
                                  </w:rPr>
                                  <m:t>-∑</m:t>
                                </m:r>
                                <m:r>
                                  <w:rPr>
                                    <w:rFonts w:ascii="Cambria Math" w:eastAsia="Times New Roman" w:hAnsi="Cambria Math"/>
                                    <w:color w:val="000000"/>
                                    <w:position w:val="-6"/>
                                    <w:sz w:val="22"/>
                                    <w:szCs w:val="22"/>
                                    <w:vertAlign w:val="subscript"/>
                                    <w:lang w:val="en-US"/>
                                  </w:rPr>
                                  <m:t>u</m:t>
                                </m:r>
                                <m:r>
                                  <w:rPr>
                                    <w:rFonts w:ascii="Cambria Math" w:eastAsia="Times New Roman" w:hAnsi="Cambria Math"/>
                                    <w:color w:val="000000"/>
                                    <w:sz w:val="22"/>
                                    <w:szCs w:val="22"/>
                                  </w:rPr>
                                  <m:t> Vu</m:t>
                                </m:r>
                                <m:r>
                                  <w:rPr>
                                    <w:rFonts w:ascii="Cambria Math" w:eastAsia="Times New Roman" w:hAnsi="Cambria Math"/>
                                    <w:color w:val="000000"/>
                                    <w:position w:val="7"/>
                                    <w:sz w:val="22"/>
                                    <w:szCs w:val="22"/>
                                    <w:vertAlign w:val="superscript"/>
                                  </w:rPr>
                                  <m:t>неж</m:t>
                                </m:r>
                                <m:r>
                                  <w:rPr>
                                    <w:rFonts w:ascii="Cambria Math" w:eastAsia="Times New Roman" w:hAnsi="Cambria Math"/>
                                    <w:color w:val="000000"/>
                                    <w:sz w:val="22"/>
                                    <w:szCs w:val="22"/>
                                  </w:rPr>
                                  <m:t>-V</m:t>
                                </m:r>
                                <m:r>
                                  <w:rPr>
                                    <w:rFonts w:ascii="Cambria Math" w:eastAsia="Times New Roman" w:hAnsi="Cambria Math"/>
                                    <w:color w:val="000000"/>
                                    <w:position w:val="7"/>
                                    <w:sz w:val="22"/>
                                    <w:szCs w:val="22"/>
                                    <w:vertAlign w:val="superscript"/>
                                  </w:rPr>
                                  <m:t>общеквартирный</m:t>
                                </m:r>
                                <m:r>
                                  <w:rPr>
                                    <w:rFonts w:ascii="Cambria Math" w:eastAsia="Times New Roman" w:hAnsi="Cambria Math"/>
                                    <w:color w:val="000000"/>
                                    <w:sz w:val="22"/>
                                    <w:szCs w:val="22"/>
                                  </w:rPr>
                                  <m:t>-V</m:t>
                                </m:r>
                                <m:r>
                                  <w:rPr>
                                    <w:rFonts w:ascii="Cambria Math" w:eastAsia="Times New Roman" w:hAnsi="Cambria Math"/>
                                    <w:color w:val="000000"/>
                                    <w:position w:val="7"/>
                                    <w:sz w:val="22"/>
                                    <w:szCs w:val="22"/>
                                    <w:vertAlign w:val="superscript"/>
                                  </w:rPr>
                                  <m:t>кр</m:t>
                                </m:r>
                                <m:r>
                                  <w:rPr>
                                    <w:rFonts w:ascii="Cambria Math" w:eastAsia="Times New Roman" w:hAnsi="Cambria Math"/>
                                    <w:color w:val="000000"/>
                                    <w:sz w:val="22"/>
                                    <w:szCs w:val="22"/>
                                  </w:rPr>
                                  <m:t>)×</m:t>
                                </m:r>
                                <m:f>
                                  <m:fPr>
                                    <m:ctrlPr>
                                      <w:rPr>
                                        <w:rFonts w:ascii="Cambria Math" w:hAnsi="Cambria Math"/>
                                        <w:i/>
                                        <w:iCs/>
                                        <w:color w:val="000000"/>
                                        <w:sz w:val="22"/>
                                        <w:szCs w:val="22"/>
                                      </w:rPr>
                                    </m:ctrlPr>
                                  </m:fPr>
                                  <m:num>
                                    <m:r>
                                      <w:rPr>
                                        <w:rFonts w:ascii="Cambria Math" w:hAnsi="Cambria Math"/>
                                        <w:color w:val="000000"/>
                                        <w:sz w:val="22"/>
                                        <w:szCs w:val="22"/>
                                        <w:lang w:val="en-US"/>
                                      </w:rPr>
                                      <m:t>S</m:t>
                                    </m:r>
                                    <m:r>
                                      <w:rPr>
                                        <w:rFonts w:ascii="Cambria Math" w:hAnsi="Cambria Math"/>
                                        <w:color w:val="000000"/>
                                        <w:position w:val="-6"/>
                                        <w:sz w:val="22"/>
                                        <w:szCs w:val="22"/>
                                        <w:vertAlign w:val="subscript"/>
                                        <w:lang w:val="en-US"/>
                                      </w:rPr>
                                      <m:t>i</m:t>
                                    </m:r>
                                  </m:num>
                                  <m:den>
                                    <m:r>
                                      <w:rPr>
                                        <w:rFonts w:ascii="Cambria Math" w:hAnsi="Cambria Math"/>
                                        <w:color w:val="000000"/>
                                        <w:sz w:val="22"/>
                                        <w:szCs w:val="22"/>
                                        <w:lang w:val="en-US"/>
                                      </w:rPr>
                                      <m:t>S</m:t>
                                    </m:r>
                                    <m:r>
                                      <w:rPr>
                                        <w:rFonts w:ascii="Cambria Math" w:hAnsi="Cambria Math"/>
                                        <w:color w:val="000000"/>
                                        <w:position w:val="7"/>
                                        <w:sz w:val="22"/>
                                        <w:szCs w:val="22"/>
                                        <w:vertAlign w:val="superscript"/>
                                      </w:rPr>
                                      <m:t>об</m:t>
                                    </m:r>
                                  </m:den>
                                </m:f>
                              </m:oMath>
                            </m:oMathPara>
                          </w:p>
                        </w:txbxContent>
                      </wps:txbx>
                      <wps:bodyPr vertOverflow="clip" horzOverflow="clip" wrap="none" lIns="0" tIns="0" rIns="0" bIns="0" rtlCol="0" anchor="t">
                        <a:spAutoFit/>
                      </wps:bodyPr>
                    </wps:wsp>
                  </a:graphicData>
                </a:graphic>
              </wp:anchor>
            </w:drawing>
          </mc:Choice>
          <mc:Fallback>
            <w:pict>
              <v:shapetype w14:anchorId="043F1558" id="_x0000_t202" coordsize="21600,21600" o:spt="202" path="m,l,21600r21600,l21600,xe">
                <v:stroke joinstyle="miter"/>
                <v:path gradientshapeok="t" o:connecttype="rect"/>
              </v:shapetype>
              <v:shape id="TextBox 3" o:spid="_x0000_s1026" type="#_x0000_t202" style="position:absolute;left:0;text-align:left;margin-left:0;margin-top:42.25pt;width:258.35pt;height:25.0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" filled="f" stroked="f">
                <v:textbox style="mso-fit-shape-to-text:t" inset="0,0,0,0">
                  <w:txbxContent>
                    <w:p w:rsidR="00C71E95" w:rsidRDefault="00C71E95" w:rsidP="00C71E95">
                      <w:pPr>
                        <w:pStyle w:val="a6"/>
                        <w:spacing w:before="0" w:beforeAutospacing="0" w:after="0" w:afterAutospacing="0"/>
                      </w:pPr>
                      <m:oMathPara>
                        <m:oMathParaPr>
                          <m:jc m:val="centerGroup"/>
                        </m:oMathParaPr>
                        <m:oMath>
                          <m:r>
                            <w:rPr>
                              <w:rFonts w:ascii="Cambria Math" w:eastAsia="Times New Roman" w:hAnsi="Cambria Math"/>
                              <w:color w:val="000000"/>
                              <w:sz w:val="22"/>
                              <w:szCs w:val="22"/>
                            </w:rPr>
                            <m:t>V</m:t>
                          </m:r>
                          <m:r>
                            <w:rPr>
                              <w:rFonts w:ascii="Cambria Math" w:eastAsia="Times New Roman" w:hAnsi="Cambria Math"/>
                              <w:color w:val="000000"/>
                              <w:position w:val="-6"/>
                              <w:sz w:val="22"/>
                              <w:szCs w:val="22"/>
                              <w:vertAlign w:val="subscript"/>
                            </w:rPr>
                            <m:t>i</m:t>
                          </m:r>
                          <m:r>
                            <w:rPr>
                              <w:rFonts w:ascii="Cambria Math" w:eastAsia="Times New Roman" w:hAnsi="Cambria Math"/>
                              <w:color w:val="000000"/>
                              <w:position w:val="7"/>
                              <w:sz w:val="22"/>
                              <w:szCs w:val="22"/>
                              <w:vertAlign w:val="superscript"/>
                            </w:rPr>
                            <m:t>одн 2</m:t>
                          </m:r>
                          <m:r>
                            <w:rPr>
                              <w:rFonts w:ascii="Cambria Math" w:eastAsia="Times New Roman" w:hAnsi="Cambria Math"/>
                              <w:color w:val="000000"/>
                              <w:sz w:val="22"/>
                              <w:szCs w:val="22"/>
                            </w:rPr>
                            <m:t>=(V</m:t>
                          </m:r>
                          <m:r>
                            <w:rPr>
                              <w:rFonts w:ascii="Cambria Math" w:eastAsia="Times New Roman" w:hAnsi="Cambria Math"/>
                              <w:color w:val="000000"/>
                              <w:position w:val="7"/>
                              <w:sz w:val="22"/>
                              <w:szCs w:val="22"/>
                              <w:vertAlign w:val="superscript"/>
                            </w:rPr>
                            <m:t>д</m:t>
                          </m:r>
                          <m:r>
                            <w:rPr>
                              <w:rFonts w:ascii="Cambria Math" w:eastAsia="Times New Roman" w:hAnsi="Cambria Math"/>
                              <w:color w:val="000000"/>
                              <w:sz w:val="22"/>
                              <w:szCs w:val="22"/>
                            </w:rPr>
                            <m:t>-∑</m:t>
                          </m:r>
                          <m:r>
                            <w:rPr>
                              <w:rFonts w:ascii="Cambria Math" w:eastAsia="Times New Roman" w:hAnsi="Cambria Math"/>
                              <w:color w:val="000000"/>
                              <w:position w:val="-6"/>
                              <w:sz w:val="22"/>
                              <w:szCs w:val="22"/>
                              <w:vertAlign w:val="subscript"/>
                              <w:lang w:val="en-US"/>
                            </w:rPr>
                            <m:t>u</m:t>
                          </m:r>
                          <m:r>
                            <w:rPr>
                              <w:rFonts w:ascii="Cambria Math" w:eastAsia="Times New Roman" w:hAnsi="Cambria Math"/>
                              <w:color w:val="000000"/>
                              <w:sz w:val="22"/>
                              <w:szCs w:val="22"/>
                            </w:rPr>
                            <m:t> Vu</m:t>
                          </m:r>
                          <m:r>
                            <w:rPr>
                              <w:rFonts w:ascii="Cambria Math" w:eastAsia="Times New Roman" w:hAnsi="Cambria Math"/>
                              <w:color w:val="000000"/>
                              <w:position w:val="7"/>
                              <w:sz w:val="22"/>
                              <w:szCs w:val="22"/>
                              <w:vertAlign w:val="superscript"/>
                            </w:rPr>
                            <m:t>неж</m:t>
                          </m:r>
                          <m:r>
                            <w:rPr>
                              <w:rFonts w:ascii="Cambria Math" w:eastAsia="Times New Roman" w:hAnsi="Cambria Math"/>
                              <w:color w:val="000000"/>
                              <w:sz w:val="22"/>
                              <w:szCs w:val="22"/>
                            </w:rPr>
                            <m:t>-V</m:t>
                          </m:r>
                          <m:r>
                            <w:rPr>
                              <w:rFonts w:ascii="Cambria Math" w:eastAsia="Times New Roman" w:hAnsi="Cambria Math"/>
                              <w:color w:val="000000"/>
                              <w:position w:val="7"/>
                              <w:sz w:val="22"/>
                              <w:szCs w:val="22"/>
                              <w:vertAlign w:val="superscript"/>
                            </w:rPr>
                            <m:t>общеквартирный</m:t>
                          </m:r>
                          <m:r>
                            <w:rPr>
                              <w:rFonts w:ascii="Cambria Math" w:eastAsia="Times New Roman" w:hAnsi="Cambria Math"/>
                              <w:color w:val="000000"/>
                              <w:sz w:val="22"/>
                              <w:szCs w:val="22"/>
                            </w:rPr>
                            <m:t>-V</m:t>
                          </m:r>
                          <m:r>
                            <w:rPr>
                              <w:rFonts w:ascii="Cambria Math" w:eastAsia="Times New Roman" w:hAnsi="Cambria Math"/>
                              <w:color w:val="000000"/>
                              <w:position w:val="7"/>
                              <w:sz w:val="22"/>
                              <w:szCs w:val="22"/>
                              <w:vertAlign w:val="superscript"/>
                            </w:rPr>
                            <m:t>кр</m:t>
                          </m:r>
                          <m:r>
                            <w:rPr>
                              <w:rFonts w:ascii="Cambria Math" w:eastAsia="Times New Roman" w:hAnsi="Cambria Math"/>
                              <w:color w:val="000000"/>
                              <w:sz w:val="22"/>
                              <w:szCs w:val="22"/>
                            </w:rPr>
                            <m:t>)×</m:t>
                          </m:r>
                          <m:f>
                            <m:fPr>
                              <m:ctrlPr>
                                <w:rPr>
                                  <w:rFonts w:ascii="Cambria Math" w:hAnsi="Cambria Math"/>
                                  <w:i/>
                                  <w:iCs/>
                                  <w:color w:val="000000"/>
                                  <w:sz w:val="22"/>
                                  <w:szCs w:val="22"/>
                                </w:rPr>
                              </m:ctrlPr>
                            </m:fPr>
                            <m:num>
                              <m:r>
                                <w:rPr>
                                  <w:rFonts w:ascii="Cambria Math" w:hAnsi="Cambria Math"/>
                                  <w:color w:val="000000"/>
                                  <w:sz w:val="22"/>
                                  <w:szCs w:val="22"/>
                                  <w:lang w:val="en-US"/>
                                </w:rPr>
                                <m:t>S</m:t>
                              </m:r>
                              <m:r>
                                <w:rPr>
                                  <w:rFonts w:ascii="Cambria Math" w:hAnsi="Cambria Math"/>
                                  <w:color w:val="000000"/>
                                  <w:position w:val="-6"/>
                                  <w:sz w:val="22"/>
                                  <w:szCs w:val="22"/>
                                  <w:vertAlign w:val="subscript"/>
                                  <w:lang w:val="en-US"/>
                                </w:rPr>
                                <m:t>i</m:t>
                              </m:r>
                            </m:num>
                            <m:den>
                              <m:r>
                                <w:rPr>
                                  <w:rFonts w:ascii="Cambria Math" w:hAnsi="Cambria Math"/>
                                  <w:color w:val="000000"/>
                                  <w:sz w:val="22"/>
                                  <w:szCs w:val="22"/>
                                  <w:lang w:val="en-US"/>
                                </w:rPr>
                                <m:t>S</m:t>
                              </m:r>
                              <m:r>
                                <w:rPr>
                                  <w:rFonts w:ascii="Cambria Math" w:hAnsi="Cambria Math"/>
                                  <w:color w:val="000000"/>
                                  <w:position w:val="7"/>
                                  <w:sz w:val="22"/>
                                  <w:szCs w:val="22"/>
                                  <w:vertAlign w:val="superscript"/>
                                </w:rPr>
                                <m:t>об</m:t>
                              </m:r>
                            </m:den>
                          </m:f>
                        </m:oMath>
                      </m:oMathPara>
                    </w:p>
                  </w:txbxContent>
                </v:textbox>
                <w10:wrap anchorx="margin"/>
              </v:shape>
            </w:pict>
          </mc:Fallback>
        </mc:AlternateContent>
      </w:r>
      <w:r w:rsidR="002D79A4" w:rsidRPr="00385EBA">
        <w:rPr>
          <w:sz w:val="28"/>
          <w:szCs w:val="28"/>
        </w:rPr>
        <w:t>В этом случае формула объема электрической энергии, предоставленной на общедомовые нужды, становится такой:</w:t>
      </w:r>
    </w:p>
    <w:p w:rsidR="00C371F9" w:rsidRDefault="00C371F9" w:rsidP="00294E4A">
      <w:pPr>
        <w:widowControl w:val="0"/>
        <w:autoSpaceDE w:val="0"/>
        <w:autoSpaceDN w:val="0"/>
        <w:adjustRightInd w:val="0"/>
        <w:ind w:firstLine="540"/>
        <w:jc w:val="both"/>
        <w:rPr>
          <w:sz w:val="28"/>
          <w:szCs w:val="28"/>
        </w:rPr>
      </w:pPr>
    </w:p>
    <w:p w:rsidR="00C371F9" w:rsidRDefault="00C371F9" w:rsidP="00294E4A">
      <w:pPr>
        <w:widowControl w:val="0"/>
        <w:autoSpaceDE w:val="0"/>
        <w:autoSpaceDN w:val="0"/>
        <w:adjustRightInd w:val="0"/>
        <w:ind w:firstLine="540"/>
        <w:jc w:val="both"/>
        <w:rPr>
          <w:sz w:val="28"/>
          <w:szCs w:val="28"/>
        </w:rPr>
      </w:pPr>
    </w:p>
    <w:p w:rsidR="00C371F9" w:rsidRPr="00385EBA" w:rsidRDefault="00C371F9" w:rsidP="00294E4A">
      <w:pPr>
        <w:widowControl w:val="0"/>
        <w:autoSpaceDE w:val="0"/>
        <w:autoSpaceDN w:val="0"/>
        <w:adjustRightInd w:val="0"/>
        <w:ind w:firstLine="540"/>
        <w:jc w:val="both"/>
        <w:rPr>
          <w:sz w:val="28"/>
          <w:szCs w:val="28"/>
        </w:rPr>
      </w:pPr>
    </w:p>
    <w:p w:rsidR="00C371F9" w:rsidRDefault="00C371F9" w:rsidP="00E06EDD">
      <w:pPr>
        <w:widowControl w:val="0"/>
        <w:autoSpaceDE w:val="0"/>
        <w:autoSpaceDN w:val="0"/>
        <w:adjustRightInd w:val="0"/>
        <w:ind w:firstLine="540"/>
        <w:jc w:val="both"/>
        <w:rPr>
          <w:sz w:val="28"/>
          <w:szCs w:val="28"/>
        </w:rPr>
      </w:pPr>
    </w:p>
    <w:p w:rsidR="00C371F9" w:rsidRDefault="00C371F9" w:rsidP="00E06EDD">
      <w:pPr>
        <w:widowControl w:val="0"/>
        <w:autoSpaceDE w:val="0"/>
        <w:autoSpaceDN w:val="0"/>
        <w:adjustRightInd w:val="0"/>
        <w:ind w:firstLine="540"/>
        <w:jc w:val="both"/>
        <w:rPr>
          <w:sz w:val="28"/>
          <w:szCs w:val="28"/>
        </w:rPr>
      </w:pPr>
    </w:p>
    <w:p w:rsidR="00E06EDD" w:rsidRDefault="00E06EDD" w:rsidP="00E06EDD">
      <w:pPr>
        <w:widowControl w:val="0"/>
        <w:autoSpaceDE w:val="0"/>
        <w:autoSpaceDN w:val="0"/>
        <w:adjustRightInd w:val="0"/>
        <w:ind w:firstLine="540"/>
        <w:jc w:val="both"/>
        <w:rPr>
          <w:sz w:val="28"/>
          <w:szCs w:val="28"/>
        </w:rPr>
      </w:pPr>
      <w:r>
        <w:rPr>
          <w:sz w:val="28"/>
          <w:szCs w:val="28"/>
        </w:rPr>
        <w:t xml:space="preserve">2. По итогам расчетного периода – с 1 июня по 30 июня – просчитать разницу, образующуюся между объемом по общеквартирному прибору учета и суммарными </w:t>
      </w:r>
      <w:proofErr w:type="gramStart"/>
      <w:r>
        <w:rPr>
          <w:sz w:val="28"/>
          <w:szCs w:val="28"/>
        </w:rPr>
        <w:t>объемами  электроэнергии</w:t>
      </w:r>
      <w:proofErr w:type="gramEnd"/>
      <w:r>
        <w:rPr>
          <w:sz w:val="28"/>
          <w:szCs w:val="28"/>
        </w:rPr>
        <w:t xml:space="preserve"> по индивидуальным приборам уч</w:t>
      </w:r>
      <w:r w:rsidR="00B15FAE">
        <w:rPr>
          <w:sz w:val="28"/>
          <w:szCs w:val="28"/>
        </w:rPr>
        <w:t>ета и по нормативным  значениям:</w:t>
      </w:r>
    </w:p>
    <w:p w:rsidR="00B15FAE" w:rsidRDefault="00BE0F9C" w:rsidP="00E06EDD">
      <w:pPr>
        <w:widowControl w:val="0"/>
        <w:autoSpaceDE w:val="0"/>
        <w:autoSpaceDN w:val="0"/>
        <w:adjustRightInd w:val="0"/>
        <w:ind w:firstLine="540"/>
        <w:jc w:val="both"/>
        <w:rPr>
          <w:sz w:val="28"/>
          <w:szCs w:val="28"/>
        </w:rPr>
      </w:pPr>
      <w:r>
        <w:rPr>
          <w:noProof/>
        </w:rPr>
        <mc:AlternateContent>
          <mc:Choice Requires="wps">
            <w:drawing>
              <wp:anchor distT="0" distB="0" distL="114300" distR="114300" simplePos="0" relativeHeight="251665408" behindDoc="0" locked="0" layoutInCell="1" allowOverlap="1" wp14:anchorId="72FFA6A5" wp14:editId="54A90140">
                <wp:simplePos x="0" y="0"/>
                <wp:positionH relativeFrom="page">
                  <wp:align>center</wp:align>
                </wp:positionH>
                <wp:positionV relativeFrom="paragraph">
                  <wp:posOffset>3810</wp:posOffset>
                </wp:positionV>
                <wp:extent cx="2214324" cy="314325"/>
                <wp:effectExtent l="0" t="0" r="3810" b="9525"/>
                <wp:wrapNone/>
                <wp:docPr id="5" name="TextBox 4"/>
                <wp:cNvGraphicFramePr/>
                <a:graphic xmlns:a="http://schemas.openxmlformats.org/drawingml/2006/main">
                  <a:graphicData uri="http://schemas.microsoft.com/office/word/2010/wordprocessingShape">
                    <wps:wsp>
                      <wps:cNvSpPr txBox="1"/>
                      <wps:spPr>
                        <a:xfrm>
                          <a:off x="0" y="0"/>
                          <a:ext cx="2214324" cy="314325"/>
                        </a:xfrm>
                        <a:prstGeom prst="rect">
                          <a:avLst/>
                        </a:prstGeom>
                        <a:noFill/>
                        <a:ln>
                          <a:noFill/>
                        </a:ln>
                        <a:effectLst/>
                      </wps:spPr>
                      <wps:txbx>
                        <w:txbxContent>
                          <w:p w:rsidR="00BE0F9C" w:rsidRDefault="00BE0F9C" w:rsidP="00BE0F9C">
                            <w:pPr>
                              <w:pStyle w:val="a6"/>
                              <w:spacing w:before="0" w:beforeAutospacing="0" w:after="0" w:afterAutospacing="0"/>
                            </w:pPr>
                            <m:oMathPara>
                              <m:oMathParaPr>
                                <m:jc m:val="centerGroup"/>
                              </m:oMathParaPr>
                              <m:oMath>
                                <m:r>
                                  <w:rPr>
                                    <w:rFonts w:ascii="Cambria Math" w:hAnsi="Cambria Math"/>
                                    <w:color w:val="000000"/>
                                    <w:sz w:val="22"/>
                                    <w:szCs w:val="22"/>
                                    <w:lang w:val="en-US"/>
                                  </w:rPr>
                                  <m:t>V</m:t>
                                </m:r>
                                <m:r>
                                  <w:rPr>
                                    <w:rFonts w:ascii="Cambria Math" w:hAnsi="Cambria Math"/>
                                    <w:color w:val="000000"/>
                                    <w:position w:val="7"/>
                                    <w:sz w:val="22"/>
                                    <w:szCs w:val="22"/>
                                    <w:vertAlign w:val="superscript"/>
                                  </w:rPr>
                                  <m:t>общеквартирный</m:t>
                                </m:r>
                                <m:r>
                                  <w:rPr>
                                    <w:rFonts w:ascii="Cambria Math" w:eastAsia="Cambria Math" w:hAnsi="Cambria Math"/>
                                    <w:color w:val="000000"/>
                                    <w:sz w:val="22"/>
                                    <w:szCs w:val="22"/>
                                  </w:rPr>
                                  <m:t>≥</m:t>
                                </m:r>
                                <m:r>
                                  <w:rPr>
                                    <w:rFonts w:ascii="Cambria Math" w:hAnsi="Cambria Math"/>
                                    <w:color w:val="000000"/>
                                    <w:sz w:val="22"/>
                                    <w:szCs w:val="22"/>
                                  </w:rPr>
                                  <m:t>∑</m:t>
                                </m:r>
                                <m:r>
                                  <w:rPr>
                                    <w:rFonts w:ascii="Cambria Math" w:hAnsi="Cambria Math"/>
                                    <w:color w:val="000000"/>
                                    <w:sz w:val="22"/>
                                    <w:szCs w:val="22"/>
                                    <w:lang w:val="en-US"/>
                                  </w:rPr>
                                  <m:t>V</m:t>
                                </m:r>
                                <m:r>
                                  <w:rPr>
                                    <w:rFonts w:ascii="Cambria Math" w:hAnsi="Cambria Math"/>
                                    <w:color w:val="000000"/>
                                    <w:position w:val="-6"/>
                                    <w:sz w:val="22"/>
                                    <w:szCs w:val="22"/>
                                    <w:vertAlign w:val="subscript"/>
                                    <w:lang w:val="en-US"/>
                                  </w:rPr>
                                  <m:t>v</m:t>
                                </m:r>
                                <m:r>
                                  <w:rPr>
                                    <w:rFonts w:ascii="Cambria Math" w:hAnsi="Cambria Math"/>
                                    <w:color w:val="000000"/>
                                    <w:position w:val="7"/>
                                    <w:sz w:val="22"/>
                                    <w:szCs w:val="22"/>
                                    <w:vertAlign w:val="superscript"/>
                                  </w:rPr>
                                  <m:t>жил п</m:t>
                                </m:r>
                                <m:r>
                                  <w:rPr>
                                    <w:rFonts w:ascii="Cambria Math" w:hAnsi="Cambria Math"/>
                                    <w:color w:val="000000"/>
                                    <w:sz w:val="22"/>
                                    <w:szCs w:val="22"/>
                                  </w:rPr>
                                  <m:t>+∑</m:t>
                                </m:r>
                                <m:r>
                                  <w:rPr>
                                    <w:rFonts w:ascii="Cambria Math" w:hAnsi="Cambria Math"/>
                                    <w:color w:val="000000"/>
                                    <w:sz w:val="22"/>
                                    <w:szCs w:val="22"/>
                                    <w:lang w:val="en-US"/>
                                  </w:rPr>
                                  <m:t>V</m:t>
                                </m:r>
                                <m:r>
                                  <w:rPr>
                                    <w:rFonts w:ascii="Cambria Math" w:hAnsi="Cambria Math"/>
                                    <w:color w:val="000000"/>
                                    <w:position w:val="-6"/>
                                    <w:sz w:val="22"/>
                                    <w:szCs w:val="22"/>
                                    <w:vertAlign w:val="subscript"/>
                                    <w:lang w:val="en-US"/>
                                  </w:rPr>
                                  <m:t>w</m:t>
                                </m:r>
                                <m:r>
                                  <w:rPr>
                                    <w:rFonts w:ascii="Cambria Math" w:hAnsi="Cambria Math"/>
                                    <w:color w:val="000000"/>
                                    <w:position w:val="7"/>
                                    <w:sz w:val="22"/>
                                    <w:szCs w:val="22"/>
                                    <w:vertAlign w:val="superscript"/>
                                  </w:rPr>
                                  <m:t>жил п</m:t>
                                </m:r>
                              </m:oMath>
                            </m:oMathPara>
                          </w:p>
                        </w:txbxContent>
                      </wps:txbx>
                      <wps:bodyPr vertOverflow="clip" horzOverflow="clip" wrap="none" lIns="0" tIns="0" rIns="0" bIns="0" rtlCol="0" anchor="t">
                        <a:noAutofit/>
                      </wps:bodyPr>
                    </wps:wsp>
                  </a:graphicData>
                </a:graphic>
                <wp14:sizeRelV relativeFrom="margin">
                  <wp14:pctHeight>0</wp14:pctHeight>
                </wp14:sizeRelV>
              </wp:anchor>
            </w:drawing>
          </mc:Choice>
          <mc:Fallback>
            <w:pict>
              <v:shape w14:anchorId="72FFA6A5" id="TextBox 4" o:spid="_x0000_s1027" type="#_x0000_t202" style="position:absolute;left:0;text-align:left;margin-left:0;margin-top:.3pt;width:174.35pt;height:24.75pt;z-index:251665408;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" filled="f" stroked="f">
                <v:textbox inset="0,0,0,0">
                  <w:txbxContent>
                    <w:p w:rsidR="00BE0F9C" w:rsidRDefault="00BE0F9C" w:rsidP="00BE0F9C">
                      <w:pPr>
                        <w:pStyle w:val="a6"/>
                        <w:spacing w:before="0" w:beforeAutospacing="0" w:after="0" w:afterAutospacing="0"/>
                      </w:pPr>
                      <m:oMathPara>
                        <m:oMathParaPr>
                          <m:jc m:val="centerGroup"/>
                        </m:oMathParaPr>
                        <m:oMath>
                          <m:r>
                            <w:rPr>
                              <w:rFonts w:ascii="Cambria Math" w:hAnsi="Cambria Math"/>
                              <w:color w:val="000000"/>
                              <w:sz w:val="22"/>
                              <w:szCs w:val="22"/>
                              <w:lang w:val="en-US"/>
                            </w:rPr>
                            <m:t>V</m:t>
                          </m:r>
                          <m:r>
                            <w:rPr>
                              <w:rFonts w:ascii="Cambria Math" w:hAnsi="Cambria Math"/>
                              <w:color w:val="000000"/>
                              <w:position w:val="7"/>
                              <w:sz w:val="22"/>
                              <w:szCs w:val="22"/>
                              <w:vertAlign w:val="superscript"/>
                            </w:rPr>
                            <m:t>общеквартирный</m:t>
                          </m:r>
                          <m:r>
                            <w:rPr>
                              <w:rFonts w:ascii="Cambria Math" w:eastAsia="Cambria Math" w:hAnsi="Cambria Math"/>
                              <w:color w:val="000000"/>
                              <w:sz w:val="22"/>
                              <w:szCs w:val="22"/>
                            </w:rPr>
                            <m:t>≥</m:t>
                          </m:r>
                          <m:r>
                            <w:rPr>
                              <w:rFonts w:ascii="Cambria Math" w:hAnsi="Cambria Math"/>
                              <w:color w:val="000000"/>
                              <w:sz w:val="22"/>
                              <w:szCs w:val="22"/>
                            </w:rPr>
                            <m:t>∑</m:t>
                          </m:r>
                          <m:r>
                            <w:rPr>
                              <w:rFonts w:ascii="Cambria Math" w:hAnsi="Cambria Math"/>
                              <w:color w:val="000000"/>
                              <w:sz w:val="22"/>
                              <w:szCs w:val="22"/>
                              <w:lang w:val="en-US"/>
                            </w:rPr>
                            <m:t>V</m:t>
                          </m:r>
                          <m:r>
                            <w:rPr>
                              <w:rFonts w:ascii="Cambria Math" w:hAnsi="Cambria Math"/>
                              <w:color w:val="000000"/>
                              <w:position w:val="-6"/>
                              <w:sz w:val="22"/>
                              <w:szCs w:val="22"/>
                              <w:vertAlign w:val="subscript"/>
                              <w:lang w:val="en-US"/>
                            </w:rPr>
                            <m:t>v</m:t>
                          </m:r>
                          <m:r>
                            <w:rPr>
                              <w:rFonts w:ascii="Cambria Math" w:hAnsi="Cambria Math"/>
                              <w:color w:val="000000"/>
                              <w:position w:val="7"/>
                              <w:sz w:val="22"/>
                              <w:szCs w:val="22"/>
                              <w:vertAlign w:val="superscript"/>
                            </w:rPr>
                            <m:t>жил п</m:t>
                          </m:r>
                          <m:r>
                            <w:rPr>
                              <w:rFonts w:ascii="Cambria Math" w:hAnsi="Cambria Math"/>
                              <w:color w:val="000000"/>
                              <w:sz w:val="22"/>
                              <w:szCs w:val="22"/>
                            </w:rPr>
                            <m:t>+∑</m:t>
                          </m:r>
                          <m:r>
                            <w:rPr>
                              <w:rFonts w:ascii="Cambria Math" w:hAnsi="Cambria Math"/>
                              <w:color w:val="000000"/>
                              <w:sz w:val="22"/>
                              <w:szCs w:val="22"/>
                              <w:lang w:val="en-US"/>
                            </w:rPr>
                            <m:t>V</m:t>
                          </m:r>
                          <m:r>
                            <w:rPr>
                              <w:rFonts w:ascii="Cambria Math" w:hAnsi="Cambria Math"/>
                              <w:color w:val="000000"/>
                              <w:position w:val="-6"/>
                              <w:sz w:val="22"/>
                              <w:szCs w:val="22"/>
                              <w:vertAlign w:val="subscript"/>
                              <w:lang w:val="en-US"/>
                            </w:rPr>
                            <m:t>w</m:t>
                          </m:r>
                          <m:r>
                            <w:rPr>
                              <w:rFonts w:ascii="Cambria Math" w:hAnsi="Cambria Math"/>
                              <w:color w:val="000000"/>
                              <w:position w:val="7"/>
                              <w:sz w:val="22"/>
                              <w:szCs w:val="22"/>
                              <w:vertAlign w:val="superscript"/>
                            </w:rPr>
                            <m:t>жил п</m:t>
                          </m:r>
                        </m:oMath>
                      </m:oMathPara>
                    </w:p>
                  </w:txbxContent>
                </v:textbox>
                <w10:wrap anchorx="page"/>
              </v:shape>
            </w:pict>
          </mc:Fallback>
        </mc:AlternateContent>
      </w:r>
    </w:p>
    <w:p w:rsidR="006856EC" w:rsidRDefault="006856EC" w:rsidP="00B15FAE">
      <w:pPr>
        <w:widowControl w:val="0"/>
        <w:autoSpaceDE w:val="0"/>
        <w:autoSpaceDN w:val="0"/>
        <w:adjustRightInd w:val="0"/>
        <w:ind w:firstLine="540"/>
        <w:jc w:val="center"/>
        <w:rPr>
          <w:b/>
          <w:i/>
          <w:color w:val="E36C0A" w:themeColor="accent6" w:themeShade="BF"/>
          <w:sz w:val="28"/>
          <w:szCs w:val="28"/>
        </w:rPr>
      </w:pPr>
    </w:p>
    <w:p w:rsidR="006856EC" w:rsidRDefault="006856EC" w:rsidP="006856EC">
      <w:pPr>
        <w:widowControl w:val="0"/>
        <w:autoSpaceDE w:val="0"/>
        <w:autoSpaceDN w:val="0"/>
        <w:adjustRightInd w:val="0"/>
        <w:ind w:firstLine="540"/>
        <w:jc w:val="both"/>
        <w:rPr>
          <w:b/>
          <w:sz w:val="28"/>
          <w:szCs w:val="28"/>
        </w:rPr>
      </w:pPr>
      <w:r>
        <w:rPr>
          <w:sz w:val="28"/>
          <w:szCs w:val="28"/>
        </w:rPr>
        <w:t>Это мероприятие позволит просчитать истинные нормативы потребления электрического оборудования внутридомовых систем электроснабжения.</w:t>
      </w:r>
      <w:r w:rsidRPr="006856EC">
        <w:rPr>
          <w:b/>
          <w:sz w:val="28"/>
          <w:szCs w:val="28"/>
        </w:rPr>
        <w:t xml:space="preserve"> </w:t>
      </w:r>
    </w:p>
    <w:p w:rsidR="006856EC" w:rsidRPr="00385EBA" w:rsidRDefault="006856EC" w:rsidP="006856EC">
      <w:pPr>
        <w:widowControl w:val="0"/>
        <w:autoSpaceDE w:val="0"/>
        <w:autoSpaceDN w:val="0"/>
        <w:adjustRightInd w:val="0"/>
        <w:ind w:firstLine="540"/>
        <w:jc w:val="both"/>
        <w:rPr>
          <w:sz w:val="28"/>
          <w:szCs w:val="28"/>
        </w:rPr>
      </w:pPr>
      <w:r w:rsidRPr="00385EBA">
        <w:rPr>
          <w:sz w:val="28"/>
          <w:szCs w:val="28"/>
        </w:rPr>
        <w:t xml:space="preserve">В отличии от других видов энергоресурсов </w:t>
      </w:r>
      <w:proofErr w:type="gramStart"/>
      <w:r w:rsidRPr="00385EBA">
        <w:rPr>
          <w:sz w:val="28"/>
          <w:szCs w:val="28"/>
        </w:rPr>
        <w:t>( водоснабжения</w:t>
      </w:r>
      <w:proofErr w:type="gramEnd"/>
      <w:r w:rsidRPr="00385EBA">
        <w:rPr>
          <w:sz w:val="28"/>
          <w:szCs w:val="28"/>
        </w:rPr>
        <w:t>, тепловая энергия), в электроснабжении это технически возможно.</w:t>
      </w:r>
    </w:p>
    <w:p w:rsidR="006856EC" w:rsidRDefault="006856EC" w:rsidP="006856EC">
      <w:pPr>
        <w:widowControl w:val="0"/>
        <w:autoSpaceDE w:val="0"/>
        <w:autoSpaceDN w:val="0"/>
        <w:adjustRightInd w:val="0"/>
        <w:ind w:firstLine="540"/>
        <w:jc w:val="both"/>
        <w:rPr>
          <w:sz w:val="28"/>
          <w:szCs w:val="28"/>
        </w:rPr>
      </w:pPr>
    </w:p>
    <w:p w:rsidR="00B15FAE" w:rsidRPr="00B15FAE" w:rsidRDefault="00B15FAE" w:rsidP="00B15FAE">
      <w:pPr>
        <w:widowControl w:val="0"/>
        <w:autoSpaceDE w:val="0"/>
        <w:autoSpaceDN w:val="0"/>
        <w:adjustRightInd w:val="0"/>
        <w:ind w:firstLine="540"/>
        <w:jc w:val="center"/>
        <w:rPr>
          <w:b/>
          <w:i/>
          <w:color w:val="E36C0A" w:themeColor="accent6" w:themeShade="BF"/>
          <w:sz w:val="28"/>
          <w:szCs w:val="28"/>
        </w:rPr>
      </w:pPr>
    </w:p>
    <w:p w:rsidR="00B15FAE" w:rsidRDefault="00B15FAE" w:rsidP="00E06EDD">
      <w:pPr>
        <w:widowControl w:val="0"/>
        <w:autoSpaceDE w:val="0"/>
        <w:autoSpaceDN w:val="0"/>
        <w:adjustRightInd w:val="0"/>
        <w:ind w:firstLine="540"/>
        <w:jc w:val="both"/>
        <w:rPr>
          <w:sz w:val="28"/>
          <w:szCs w:val="28"/>
        </w:rPr>
      </w:pPr>
    </w:p>
    <w:p w:rsidR="00E06EDD" w:rsidRDefault="00E06EDD" w:rsidP="00E06EDD">
      <w:pPr>
        <w:widowControl w:val="0"/>
        <w:autoSpaceDE w:val="0"/>
        <w:autoSpaceDN w:val="0"/>
        <w:adjustRightInd w:val="0"/>
        <w:ind w:firstLine="540"/>
        <w:jc w:val="both"/>
        <w:rPr>
          <w:sz w:val="28"/>
          <w:szCs w:val="28"/>
        </w:rPr>
      </w:pPr>
      <w:r>
        <w:rPr>
          <w:sz w:val="28"/>
          <w:szCs w:val="28"/>
        </w:rPr>
        <w:t>Доклад окончен! Спасибо за внимание!</w:t>
      </w:r>
    </w:p>
    <w:p w:rsidR="00C73F8F" w:rsidRDefault="00C73F8F"/>
    <w:p w:rsidR="006856EC" w:rsidRDefault="006856EC"/>
    <w:p w:rsidR="006856EC" w:rsidRDefault="006856EC"/>
    <w:p w:rsidR="006856EC" w:rsidRDefault="006856EC"/>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rsidP="00DD0B2B">
      <w:pPr>
        <w:ind w:firstLine="714"/>
        <w:jc w:val="both"/>
        <w:rPr>
          <w:sz w:val="28"/>
          <w:szCs w:val="28"/>
        </w:rPr>
      </w:pPr>
      <w:bookmarkStart w:id="0" w:name="_GoBack"/>
      <w:bookmarkEnd w:id="0"/>
    </w:p>
    <w:p w:rsidR="00DD0B2B" w:rsidRPr="00830C5F" w:rsidRDefault="00DD0B2B" w:rsidP="00DD0B2B">
      <w:pPr>
        <w:ind w:left="720"/>
        <w:rPr>
          <w:sz w:val="32"/>
          <w:szCs w:val="32"/>
        </w:rPr>
      </w:pPr>
    </w:p>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DD0B2B" w:rsidRDefault="00DD0B2B"/>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A44CAE" w:rsidRDefault="00A44CAE"/>
    <w:p w:rsidR="00A44CAE" w:rsidRDefault="00A44CAE"/>
    <w:p w:rsidR="00A44CAE" w:rsidRDefault="00A44CAE"/>
    <w:p w:rsidR="00A44CAE" w:rsidRDefault="00A44CAE"/>
    <w:p w:rsidR="00A44CAE" w:rsidRDefault="00A44CAE"/>
    <w:p w:rsidR="00A44CAE" w:rsidRDefault="00A44CAE"/>
    <w:p w:rsidR="00A44CAE" w:rsidRDefault="00A44CAE"/>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p w:rsidR="006856EC" w:rsidRDefault="006856EC"/>
    <w:sectPr w:rsidR="006856EC" w:rsidSect="005F53C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D13A7"/>
    <w:multiLevelType w:val="hybridMultilevel"/>
    <w:tmpl w:val="0798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F2982"/>
    <w:multiLevelType w:val="multilevel"/>
    <w:tmpl w:val="273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E2C8F"/>
    <w:multiLevelType w:val="hybridMultilevel"/>
    <w:tmpl w:val="FC0601A0"/>
    <w:lvl w:ilvl="0" w:tplc="22E4E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DD"/>
    <w:rsid w:val="000C7B1F"/>
    <w:rsid w:val="00294E4A"/>
    <w:rsid w:val="002D79A4"/>
    <w:rsid w:val="002F4553"/>
    <w:rsid w:val="002F713E"/>
    <w:rsid w:val="00385EBA"/>
    <w:rsid w:val="004A0BF4"/>
    <w:rsid w:val="005013D7"/>
    <w:rsid w:val="00505540"/>
    <w:rsid w:val="005F53C1"/>
    <w:rsid w:val="006274BB"/>
    <w:rsid w:val="006611B5"/>
    <w:rsid w:val="006856EC"/>
    <w:rsid w:val="00780747"/>
    <w:rsid w:val="00915722"/>
    <w:rsid w:val="00967C10"/>
    <w:rsid w:val="009C6B0C"/>
    <w:rsid w:val="00A300F6"/>
    <w:rsid w:val="00A44CAE"/>
    <w:rsid w:val="00B15FAE"/>
    <w:rsid w:val="00BE0F9C"/>
    <w:rsid w:val="00C371F9"/>
    <w:rsid w:val="00C66A5C"/>
    <w:rsid w:val="00C71E95"/>
    <w:rsid w:val="00C73F8F"/>
    <w:rsid w:val="00C834D2"/>
    <w:rsid w:val="00DD0B2B"/>
    <w:rsid w:val="00E06EDD"/>
    <w:rsid w:val="00F75956"/>
    <w:rsid w:val="00FF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B482D-A414-4316-AC8D-EAC1C7B5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EDD"/>
    <w:rPr>
      <w:rFonts w:ascii="Tahoma" w:hAnsi="Tahoma" w:cs="Tahoma"/>
      <w:sz w:val="16"/>
      <w:szCs w:val="16"/>
    </w:rPr>
  </w:style>
  <w:style w:type="character" w:customStyle="1" w:styleId="a4">
    <w:name w:val="Текст выноски Знак"/>
    <w:basedOn w:val="a0"/>
    <w:link w:val="a3"/>
    <w:uiPriority w:val="99"/>
    <w:semiHidden/>
    <w:rsid w:val="00E06EDD"/>
    <w:rPr>
      <w:rFonts w:ascii="Tahoma" w:eastAsia="Times New Roman" w:hAnsi="Tahoma" w:cs="Tahoma"/>
      <w:sz w:val="16"/>
      <w:szCs w:val="16"/>
      <w:lang w:eastAsia="ru-RU"/>
    </w:rPr>
  </w:style>
  <w:style w:type="paragraph" w:styleId="a5">
    <w:name w:val="List Paragraph"/>
    <w:basedOn w:val="a"/>
    <w:uiPriority w:val="34"/>
    <w:qFormat/>
    <w:rsid w:val="00E06EDD"/>
    <w:pPr>
      <w:ind w:left="720"/>
      <w:contextualSpacing/>
    </w:pPr>
  </w:style>
  <w:style w:type="paragraph" w:styleId="a6">
    <w:name w:val="Normal (Web)"/>
    <w:basedOn w:val="a"/>
    <w:uiPriority w:val="99"/>
    <w:semiHidden/>
    <w:unhideWhenUsed/>
    <w:rsid w:val="00A300F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32E5-2938-4A05-8691-00B08193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16</cp:revision>
  <cp:lastPrinted>2015-05-25T10:56:00Z</cp:lastPrinted>
  <dcterms:created xsi:type="dcterms:W3CDTF">2015-05-25T05:41:00Z</dcterms:created>
  <dcterms:modified xsi:type="dcterms:W3CDTF">2015-05-26T04:26:00Z</dcterms:modified>
</cp:coreProperties>
</file>